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4D9" w:rsidRPr="005711C2" w:rsidRDefault="00AA37C9" w:rsidP="0074610A">
      <w:pPr>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5273"/>
        <w:gridCol w:w="6804"/>
        <w:gridCol w:w="1277"/>
      </w:tblGrid>
      <w:tr w:rsidR="000676B7" w:rsidRPr="00682D19" w:rsidTr="00C5537C">
        <w:trPr>
          <w:trHeight w:val="885"/>
          <w:tblHeader/>
        </w:trPr>
        <w:tc>
          <w:tcPr>
            <w:tcW w:w="1985" w:type="dxa"/>
            <w:gridSpan w:val="2"/>
            <w:shd w:val="clear" w:color="auto" w:fill="D9D9D9"/>
            <w:vAlign w:val="center"/>
          </w:tcPr>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審査項目</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（配点）</w:t>
            </w:r>
          </w:p>
        </w:tc>
        <w:tc>
          <w:tcPr>
            <w:tcW w:w="5273" w:type="dxa"/>
            <w:shd w:val="clear" w:color="auto" w:fill="D9D9D9"/>
            <w:vAlign w:val="center"/>
          </w:tcPr>
          <w:p w:rsidR="000676B7" w:rsidRPr="00682D19" w:rsidRDefault="000676B7" w:rsidP="000676B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審査の着目点</w:t>
            </w:r>
          </w:p>
        </w:tc>
        <w:tc>
          <w:tcPr>
            <w:tcW w:w="6804" w:type="dxa"/>
            <w:shd w:val="clear" w:color="auto" w:fill="D9D9D9" w:themeFill="background1" w:themeFillShade="D9"/>
            <w:vAlign w:val="center"/>
          </w:tcPr>
          <w:p w:rsidR="000676B7" w:rsidRDefault="000676B7" w:rsidP="00BF73D7">
            <w:pPr>
              <w:spacing w:line="360" w:lineRule="exact"/>
              <w:jc w:val="center"/>
              <w:rPr>
                <w:rFonts w:ascii="Meiryo UI" w:eastAsia="Meiryo UI" w:hAnsi="Meiryo UI" w:cs="Meiryo UI" w:hint="eastAsia"/>
                <w:sz w:val="18"/>
                <w:szCs w:val="18"/>
              </w:rPr>
            </w:pPr>
            <w:r>
              <w:rPr>
                <w:rFonts w:ascii="Meiryo UI" w:eastAsia="Meiryo UI" w:hAnsi="Meiryo UI" w:cs="Meiryo UI" w:hint="eastAsia"/>
                <w:sz w:val="18"/>
                <w:szCs w:val="18"/>
              </w:rPr>
              <w:t>提案内容</w:t>
            </w:r>
          </w:p>
        </w:tc>
        <w:tc>
          <w:tcPr>
            <w:tcW w:w="1277" w:type="dxa"/>
            <w:shd w:val="clear" w:color="auto" w:fill="D9D9D9"/>
            <w:vAlign w:val="center"/>
          </w:tcPr>
          <w:p w:rsidR="000676B7" w:rsidRDefault="000676B7" w:rsidP="00BF73D7">
            <w:pPr>
              <w:spacing w:line="360" w:lineRule="exact"/>
              <w:jc w:val="center"/>
              <w:rPr>
                <w:rFonts w:ascii="Meiryo UI" w:eastAsia="Meiryo UI" w:hAnsi="Meiryo UI" w:cs="Meiryo UI"/>
                <w:sz w:val="18"/>
                <w:szCs w:val="18"/>
              </w:rPr>
            </w:pPr>
            <w:r>
              <w:rPr>
                <w:rFonts w:ascii="Meiryo UI" w:eastAsia="Meiryo UI" w:hAnsi="Meiryo UI" w:cs="Meiryo UI" w:hint="eastAsia"/>
                <w:sz w:val="18"/>
                <w:szCs w:val="18"/>
              </w:rPr>
              <w:t>企画提案書</w:t>
            </w:r>
          </w:p>
          <w:p w:rsidR="000676B7" w:rsidRPr="00682D19" w:rsidRDefault="000676B7" w:rsidP="00BF73D7">
            <w:pPr>
              <w:spacing w:line="280" w:lineRule="exact"/>
              <w:jc w:val="center"/>
              <w:rPr>
                <w:rFonts w:ascii="Meiryo UI" w:eastAsia="Meiryo UI" w:hAnsi="Meiryo UI" w:cs="Meiryo UI" w:hint="eastAsia"/>
                <w:color w:val="000000" w:themeColor="text1"/>
                <w:sz w:val="18"/>
                <w:szCs w:val="18"/>
              </w:rPr>
            </w:pPr>
            <w:r>
              <w:rPr>
                <w:rFonts w:ascii="Meiryo UI" w:eastAsia="Meiryo UI" w:hAnsi="Meiryo UI" w:cs="Meiryo UI" w:hint="eastAsia"/>
                <w:sz w:val="18"/>
                <w:szCs w:val="18"/>
              </w:rPr>
              <w:t>該当ページ</w:t>
            </w:r>
          </w:p>
        </w:tc>
      </w:tr>
      <w:tr w:rsidR="000676B7" w:rsidRPr="00682D19" w:rsidTr="00C5537C">
        <w:trPr>
          <w:trHeight w:val="680"/>
        </w:trPr>
        <w:tc>
          <w:tcPr>
            <w:tcW w:w="426" w:type="dxa"/>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color w:val="000000" w:themeColor="text1"/>
                <w:sz w:val="18"/>
                <w:szCs w:val="18"/>
              </w:rPr>
              <w:t>1</w:t>
            </w:r>
          </w:p>
        </w:tc>
        <w:tc>
          <w:tcPr>
            <w:tcW w:w="1559" w:type="dxa"/>
            <w:shd w:val="clear" w:color="auto" w:fill="auto"/>
          </w:tcPr>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課題認識</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（２０）</w:t>
            </w: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これまでの千葉市の自動運転への取組を踏まえ、実装に向けたプロセスと現状の課題が明確になっているか。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397"/>
        </w:trPr>
        <w:tc>
          <w:tcPr>
            <w:tcW w:w="426" w:type="dxa"/>
            <w:vMerge w:val="restart"/>
            <w:shd w:val="clear" w:color="auto" w:fill="auto"/>
          </w:tcPr>
          <w:p w:rsidR="000676B7" w:rsidRPr="00682D19" w:rsidRDefault="000676B7" w:rsidP="00C82A87">
            <w:pPr>
              <w:spacing w:line="280" w:lineRule="exact"/>
              <w:rPr>
                <w:rFonts w:ascii="Meiryo UI" w:eastAsia="Meiryo UI" w:hAnsi="Meiryo UI" w:cs="Meiryo UI"/>
                <w:color w:val="000000" w:themeColor="text1"/>
                <w:sz w:val="18"/>
                <w:szCs w:val="18"/>
              </w:rPr>
            </w:pPr>
            <w:r w:rsidRPr="00682D19">
              <w:rPr>
                <w:rFonts w:ascii="Meiryo UI" w:eastAsia="Meiryo UI" w:hAnsi="Meiryo UI" w:cs="Meiryo UI"/>
                <w:color w:val="000000" w:themeColor="text1"/>
                <w:sz w:val="18"/>
                <w:szCs w:val="18"/>
              </w:rPr>
              <w:t>2</w:t>
            </w:r>
          </w:p>
        </w:tc>
        <w:tc>
          <w:tcPr>
            <w:tcW w:w="1559" w:type="dxa"/>
            <w:vMerge w:val="restart"/>
            <w:shd w:val="clear" w:color="auto" w:fill="auto"/>
          </w:tcPr>
          <w:p w:rsidR="000676B7" w:rsidRPr="00682D19" w:rsidRDefault="000676B7" w:rsidP="00C82A87">
            <w:pPr>
              <w:spacing w:line="280" w:lineRule="exact"/>
              <w:jc w:val="center"/>
              <w:rPr>
                <w:rFonts w:ascii="Meiryo UI" w:eastAsia="Meiryo UI" w:hAnsi="Meiryo UI" w:cs="Meiryo UI"/>
                <w:color w:val="000000" w:themeColor="text1"/>
                <w:sz w:val="18"/>
                <w:szCs w:val="18"/>
              </w:rPr>
            </w:pPr>
            <w:r w:rsidRPr="00682D19">
              <w:rPr>
                <w:rFonts w:ascii="Meiryo UI" w:eastAsia="Meiryo UI" w:hAnsi="Meiryo UI" w:cs="Meiryo UI" w:hint="eastAsia"/>
                <w:color w:val="000000" w:themeColor="text1"/>
                <w:sz w:val="18"/>
                <w:szCs w:val="18"/>
              </w:rPr>
              <w:t>事業内容</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（５０）</w:t>
            </w: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strike/>
                <w:color w:val="000000" w:themeColor="text1"/>
                <w:sz w:val="18"/>
                <w:szCs w:val="18"/>
              </w:rPr>
            </w:pPr>
            <w:r w:rsidRPr="00682D19">
              <w:rPr>
                <w:rFonts w:ascii="Meiryo UI" w:eastAsia="Meiryo UI" w:hAnsi="Meiryo UI" w:cs="Meiryo UI" w:hint="eastAsia"/>
                <w:color w:val="000000" w:themeColor="text1"/>
                <w:sz w:val="18"/>
                <w:szCs w:val="18"/>
              </w:rPr>
              <w:t>提案された実証内容について、実現性のあるものとなっているか。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397"/>
        </w:trPr>
        <w:tc>
          <w:tcPr>
            <w:tcW w:w="426"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実施内容の効果検証を行う上で、実施時期や期間は適切か。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680"/>
        </w:trPr>
        <w:tc>
          <w:tcPr>
            <w:tcW w:w="426"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技術的な課題の改善や解消にむけて、技術革新の動向を踏まえた検証が行われるか。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397"/>
        </w:trPr>
        <w:tc>
          <w:tcPr>
            <w:tcW w:w="426"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実証実験における安全対策が講じられているか。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bookmarkStart w:id="0" w:name="_GoBack"/>
            <w:bookmarkEnd w:id="0"/>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680"/>
        </w:trPr>
        <w:tc>
          <w:tcPr>
            <w:tcW w:w="426"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市民や地元企業等の自動運転車への受容性の向上に資するものとなっているか。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1021"/>
        </w:trPr>
        <w:tc>
          <w:tcPr>
            <w:tcW w:w="426" w:type="dxa"/>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3</w:t>
            </w:r>
          </w:p>
        </w:tc>
        <w:tc>
          <w:tcPr>
            <w:tcW w:w="1559" w:type="dxa"/>
            <w:shd w:val="clear" w:color="auto" w:fill="auto"/>
          </w:tcPr>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今後の展開</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（２０）</w:t>
            </w: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民間事業者による自動運転技術を活用した事業化や他地域への横展開が考慮された</w:t>
            </w:r>
            <w:r w:rsidRPr="00682D19" w:rsidDel="00735600">
              <w:rPr>
                <w:rFonts w:ascii="Meiryo UI" w:eastAsia="Meiryo UI" w:hAnsi="Meiryo UI" w:cs="Meiryo UI" w:hint="eastAsia"/>
                <w:color w:val="000000" w:themeColor="text1"/>
                <w:sz w:val="18"/>
                <w:szCs w:val="18"/>
              </w:rPr>
              <w:t>ロードマップが示</w:t>
            </w:r>
            <w:r w:rsidRPr="00682D19">
              <w:rPr>
                <w:rFonts w:ascii="Meiryo UI" w:eastAsia="Meiryo UI" w:hAnsi="Meiryo UI" w:cs="Meiryo UI" w:hint="eastAsia"/>
                <w:color w:val="000000" w:themeColor="text1"/>
                <w:sz w:val="18"/>
                <w:szCs w:val="18"/>
              </w:rPr>
              <w:t>されているとともに、本市が目指す方向性に合致した展開が期待できるか。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680"/>
        </w:trPr>
        <w:tc>
          <w:tcPr>
            <w:tcW w:w="426" w:type="dxa"/>
            <w:vMerge w:val="restart"/>
            <w:shd w:val="clear" w:color="auto" w:fill="auto"/>
          </w:tcPr>
          <w:p w:rsidR="000676B7" w:rsidRPr="00682D19" w:rsidRDefault="000676B7" w:rsidP="00C82A87">
            <w:pPr>
              <w:spacing w:line="280" w:lineRule="exact"/>
              <w:rPr>
                <w:rFonts w:ascii="Meiryo UI" w:eastAsia="Meiryo UI" w:hAnsi="Meiryo UI" w:cs="Meiryo UI"/>
                <w:color w:val="000000" w:themeColor="text1"/>
                <w:sz w:val="18"/>
                <w:szCs w:val="18"/>
              </w:rPr>
            </w:pPr>
            <w:r w:rsidRPr="00682D19">
              <w:rPr>
                <w:rFonts w:ascii="Meiryo UI" w:eastAsia="Meiryo UI" w:hAnsi="Meiryo UI" w:cs="Meiryo UI"/>
                <w:color w:val="000000" w:themeColor="text1"/>
                <w:sz w:val="18"/>
                <w:szCs w:val="18"/>
              </w:rPr>
              <w:t>4</w:t>
            </w:r>
          </w:p>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val="restart"/>
            <w:shd w:val="clear" w:color="auto" w:fill="auto"/>
          </w:tcPr>
          <w:p w:rsidR="000676B7" w:rsidRPr="00682D19" w:rsidRDefault="000676B7" w:rsidP="00C82A87">
            <w:pPr>
              <w:spacing w:line="280" w:lineRule="exact"/>
              <w:jc w:val="center"/>
              <w:rPr>
                <w:rFonts w:ascii="Meiryo UI" w:eastAsia="Meiryo UI" w:hAnsi="Meiryo UI" w:cs="Meiryo UI"/>
                <w:color w:val="000000" w:themeColor="text1"/>
                <w:sz w:val="18"/>
                <w:szCs w:val="18"/>
              </w:rPr>
            </w:pPr>
            <w:r w:rsidRPr="00682D19">
              <w:rPr>
                <w:rFonts w:ascii="Meiryo UI" w:eastAsia="Meiryo UI" w:hAnsi="Meiryo UI" w:cs="Meiryo UI" w:hint="eastAsia"/>
                <w:color w:val="000000" w:themeColor="text1"/>
                <w:sz w:val="18"/>
                <w:szCs w:val="18"/>
              </w:rPr>
              <w:t>運営能力・</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事業実施体制</w:t>
            </w:r>
          </w:p>
          <w:p w:rsidR="000676B7" w:rsidRPr="00682D19" w:rsidRDefault="000676B7" w:rsidP="00C82A87">
            <w:pPr>
              <w:spacing w:line="280" w:lineRule="exact"/>
              <w:jc w:val="center"/>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（１０）</w:t>
            </w: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本事業に関連のある事業実績、成果を有しているなど、その知識、ノウハウ、経験等を十分に活かせることが期待できるか。</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r w:rsidR="000676B7" w:rsidRPr="00682D19" w:rsidTr="00C5537C">
        <w:trPr>
          <w:trHeight w:val="1493"/>
        </w:trPr>
        <w:tc>
          <w:tcPr>
            <w:tcW w:w="426"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559" w:type="dxa"/>
            <w:vMerge/>
            <w:shd w:val="clear" w:color="auto" w:fill="auto"/>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5273" w:type="dxa"/>
            <w:shd w:val="clear" w:color="auto" w:fill="auto"/>
            <w:vAlign w:val="center"/>
          </w:tcPr>
          <w:p w:rsidR="000676B7" w:rsidRPr="00682D19" w:rsidRDefault="000676B7" w:rsidP="00C82A87">
            <w:pPr>
              <w:spacing w:line="280" w:lineRule="exact"/>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運営は組織化され、適切な人員配置、指導・監督体制が整備されているか。また、確実な実施、運営のための工程表等が提示されているか。</w:t>
            </w:r>
          </w:p>
          <w:p w:rsidR="000676B7" w:rsidRPr="00682D19" w:rsidRDefault="000676B7" w:rsidP="00C82A87">
            <w:pPr>
              <w:spacing w:line="280" w:lineRule="exact"/>
              <w:ind w:left="180" w:hangingChars="100" w:hanging="180"/>
              <w:rPr>
                <w:rFonts w:ascii="Meiryo UI" w:eastAsia="Meiryo UI" w:hAnsi="Meiryo UI" w:cs="Meiryo UI" w:hint="eastAsia"/>
                <w:color w:val="000000" w:themeColor="text1"/>
                <w:sz w:val="18"/>
                <w:szCs w:val="18"/>
              </w:rPr>
            </w:pPr>
            <w:r w:rsidRPr="00682D19">
              <w:rPr>
                <w:rFonts w:ascii="Meiryo UI" w:eastAsia="Meiryo UI" w:hAnsi="Meiryo UI" w:cs="Meiryo UI" w:hint="eastAsia"/>
                <w:color w:val="000000" w:themeColor="text1"/>
                <w:sz w:val="18"/>
                <w:szCs w:val="18"/>
              </w:rPr>
              <w:t>※本業務の実施体制図（総括責任者、業務実施責任者等の組織体制図）、工程表を添付し提案すること。</w:t>
            </w:r>
          </w:p>
        </w:tc>
        <w:tc>
          <w:tcPr>
            <w:tcW w:w="6804"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c>
          <w:tcPr>
            <w:tcW w:w="1277" w:type="dxa"/>
          </w:tcPr>
          <w:p w:rsidR="000676B7" w:rsidRPr="00682D19" w:rsidRDefault="000676B7" w:rsidP="00C82A87">
            <w:pPr>
              <w:spacing w:line="280" w:lineRule="exact"/>
              <w:rPr>
                <w:rFonts w:ascii="Meiryo UI" w:eastAsia="Meiryo UI" w:hAnsi="Meiryo UI" w:cs="Meiryo UI" w:hint="eastAsia"/>
                <w:color w:val="000000" w:themeColor="text1"/>
                <w:sz w:val="18"/>
                <w:szCs w:val="18"/>
              </w:rPr>
            </w:pPr>
          </w:p>
        </w:tc>
      </w:tr>
    </w:tbl>
    <w:p w:rsidR="008C1D03" w:rsidRPr="00FF75D0" w:rsidRDefault="008C1D03" w:rsidP="0074610A"/>
    <w:sectPr w:rsidR="008C1D03" w:rsidRPr="00FF75D0" w:rsidSect="00487745">
      <w:headerReference w:type="default" r:id="rId6"/>
      <w:footerReference w:type="default" r:id="rId7"/>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様式第４</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676B7"/>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235B"/>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51C5"/>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059"/>
    <w:rsid w:val="00396818"/>
    <w:rsid w:val="00397705"/>
    <w:rsid w:val="003A1988"/>
    <w:rsid w:val="003A2CFD"/>
    <w:rsid w:val="003A43DF"/>
    <w:rsid w:val="003A5E4C"/>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2611"/>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610A"/>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0C2"/>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5337"/>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BF73D7"/>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537C"/>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A0E"/>
    <w:rsid w:val="00D92F66"/>
    <w:rsid w:val="00D96023"/>
    <w:rsid w:val="00D97BAA"/>
    <w:rsid w:val="00DA6DF9"/>
    <w:rsid w:val="00DA78BD"/>
    <w:rsid w:val="00DB0850"/>
    <w:rsid w:val="00DB4323"/>
    <w:rsid w:val="00DB5958"/>
    <w:rsid w:val="00DB6029"/>
    <w:rsid w:val="00DC17F9"/>
    <w:rsid w:val="00DC4CB7"/>
    <w:rsid w:val="00DC56DC"/>
    <w:rsid w:val="00DC5C89"/>
    <w:rsid w:val="00DC5D0B"/>
    <w:rsid w:val="00DC6D9B"/>
    <w:rsid w:val="00DD1C78"/>
    <w:rsid w:val="00DD298F"/>
    <w:rsid w:val="00DD34AB"/>
    <w:rsid w:val="00DD389D"/>
    <w:rsid w:val="00DD5F41"/>
    <w:rsid w:val="00DD637C"/>
    <w:rsid w:val="00DE0C33"/>
    <w:rsid w:val="00DF06BB"/>
    <w:rsid w:val="00DF28D0"/>
    <w:rsid w:val="00DF37B2"/>
    <w:rsid w:val="00DF5057"/>
    <w:rsid w:val="00DF70A7"/>
    <w:rsid w:val="00E00459"/>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 w:val="00FF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ECDF9"/>
  <w15:docId w15:val="{7735F895-22E9-4A4E-95CE-1AAB0960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川村　健一郎</cp:lastModifiedBy>
  <cp:revision>3</cp:revision>
  <cp:lastPrinted>2021-09-24T08:33:00Z</cp:lastPrinted>
  <dcterms:created xsi:type="dcterms:W3CDTF">2022-09-29T06:32:00Z</dcterms:created>
  <dcterms:modified xsi:type="dcterms:W3CDTF">2022-09-29T06:37:00Z</dcterms:modified>
</cp:coreProperties>
</file>