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
  <Relationship Id="rId4" Type="http://schemas.openxmlformats.org/officeDocument/2006/relationships/officeDocument" Target="word/document.xml" />
  <Relationship Id="rId3"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bookmarkStart w:id="0" w:name="_GoBack"/>
      <w:bookmarkEnd w:id="0"/>
    </w:p>
    <w:p/>
    <w:p/>
    <w:p>
      <w:pPr>
        <w:jc w:val="center"/>
        <w:rPr>
          <w:rFonts w:asciiTheme="majorEastAsia" w:hAnsiTheme="majorEastAsia" w:eastAsiaTheme="majorEastAsia"/>
          <w:sz w:val="52"/>
          <w:szCs w:val="52"/>
        </w:rPr>
      </w:pPr>
      <w:r>
        <w:rPr>
          <w:rFonts w:hint="eastAsia" w:asciiTheme="majorEastAsia" w:hAnsiTheme="majorEastAsia" w:eastAsiaTheme="majorEastAsia"/>
          <w:sz w:val="52"/>
          <w:szCs w:val="52"/>
        </w:rPr>
        <w:t>〇〇〇管理組合</w:t>
      </w:r>
    </w:p>
    <w:p>
      <w:pPr>
        <w:jc w:val="center"/>
        <w:rPr>
          <w:rFonts w:asciiTheme="majorEastAsia" w:hAnsiTheme="majorEastAsia" w:eastAsiaTheme="majorEastAsia"/>
          <w:sz w:val="52"/>
          <w:szCs w:val="52"/>
        </w:rPr>
      </w:pPr>
      <w:r>
        <w:rPr>
          <w:rFonts w:hint="eastAsia" w:asciiTheme="majorEastAsia" w:hAnsiTheme="majorEastAsia" w:eastAsiaTheme="majorEastAsia"/>
          <w:sz w:val="52"/>
          <w:szCs w:val="52"/>
        </w:rPr>
        <w:t>植栽管理標準仕様書</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〇〇〇管理組合</w:t>
      </w:r>
    </w:p>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平成～年～月</w:t>
      </w:r>
    </w:p>
    <w:p>
      <w:pPr>
        <w:widowControl/>
        <w:jc w:val="left"/>
        <w:rPr>
          <w:rFonts w:asciiTheme="majorEastAsia" w:hAnsiTheme="majorEastAsia" w:eastAsiaTheme="majorEastAsia"/>
          <w:sz w:val="28"/>
          <w:szCs w:val="28"/>
        </w:rPr>
        <w:sectPr>
          <w:footerReference r:id="rId3" w:type="default"/>
          <w:pgSz w:w="11906" w:h="16838"/>
          <w:pgMar w:top="1440" w:right="1080" w:bottom="1440" w:left="1080" w:header="851" w:footer="992" w:gutter="0"/>
          <w:cols w:space="425" w:num="1"/>
          <w:docGrid w:type="lines" w:linePitch="360" w:charSpace="0"/>
        </w:sectPr>
      </w:pPr>
    </w:p>
    <w:p>
      <w:pPr>
        <w:jc w:val="center"/>
        <w:rPr>
          <w:rFonts w:asciiTheme="majorEastAsia" w:hAnsiTheme="majorEastAsia" w:eastAsiaTheme="majorEastAsia"/>
          <w:sz w:val="40"/>
          <w:szCs w:val="40"/>
        </w:rPr>
      </w:pPr>
      <w:r>
        <w:rPr>
          <w:rFonts w:hint="eastAsia" w:asciiTheme="majorEastAsia" w:hAnsiTheme="majorEastAsia" w:eastAsiaTheme="majorEastAsia"/>
          <w:sz w:val="40"/>
          <w:szCs w:val="40"/>
        </w:rPr>
        <w:t>目　　　　　　　次</w:t>
      </w:r>
    </w:p>
    <w:p>
      <w:pPr>
        <w:jc w:val="center"/>
        <w:rPr>
          <w:rFonts w:asciiTheme="majorEastAsia" w:hAnsiTheme="majorEastAsia" w:eastAsiaTheme="majorEastAsia"/>
          <w:szCs w:val="21"/>
        </w:rPr>
      </w:pPr>
    </w:p>
    <w:p>
      <w:pPr>
        <w:jc w:val="left"/>
        <w:rPr>
          <w:rFonts w:asciiTheme="majorEastAsia" w:hAnsiTheme="majorEastAsia" w:eastAsiaTheme="majorEastAsia"/>
          <w:sz w:val="40"/>
          <w:szCs w:val="40"/>
        </w:rPr>
      </w:pPr>
      <w:r>
        <w:rPr>
          <w:rFonts w:hint="eastAsia" w:asciiTheme="majorEastAsia" w:hAnsiTheme="majorEastAsia" w:eastAsiaTheme="majorEastAsia"/>
          <w:sz w:val="40"/>
          <w:szCs w:val="40"/>
        </w:rPr>
        <w:t>第１章　総　　　則</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１　一般事項</w:t>
      </w:r>
      <w:r>
        <w:rPr>
          <w:rFonts w:asciiTheme="majorEastAsia" w:hAnsiTheme="majorEastAsia" w:eastAsiaTheme="majorEastAsia"/>
          <w:sz w:val="28"/>
          <w:szCs w:val="28"/>
        </w:rPr>
        <w:t>……………………………………………………………</w:t>
      </w:r>
      <w:r>
        <w:rPr>
          <w:rFonts w:hint="eastAsia" w:asciiTheme="majorEastAsia" w:hAnsiTheme="majorEastAsia" w:eastAsiaTheme="majorEastAsia"/>
          <w:sz w:val="28"/>
          <w:szCs w:val="28"/>
        </w:rPr>
        <w:t>１</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２　着手</w:t>
      </w:r>
      <w:r>
        <w:rPr>
          <w:rFonts w:asciiTheme="majorEastAsia" w:hAnsiTheme="majorEastAsia" w:eastAsiaTheme="majorEastAsia"/>
          <w:sz w:val="28"/>
          <w:szCs w:val="28"/>
        </w:rPr>
        <w:t>…………………………………………………………………</w:t>
      </w:r>
      <w:r>
        <w:rPr>
          <w:rFonts w:hint="eastAsia" w:asciiTheme="majorEastAsia" w:hAnsiTheme="majorEastAsia" w:eastAsiaTheme="majorEastAsia"/>
          <w:sz w:val="28"/>
          <w:szCs w:val="28"/>
        </w:rPr>
        <w:t>２</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３　作業の適正化</w:t>
      </w:r>
      <w:r>
        <w:rPr>
          <w:rFonts w:asciiTheme="majorEastAsia" w:hAnsiTheme="majorEastAsia" w:eastAsiaTheme="majorEastAsia"/>
          <w:sz w:val="28"/>
          <w:szCs w:val="28"/>
        </w:rPr>
        <w:t>………………………………………………………</w:t>
      </w:r>
      <w:r>
        <w:rPr>
          <w:rFonts w:hint="eastAsia" w:asciiTheme="majorEastAsia" w:hAnsiTheme="majorEastAsia" w:eastAsiaTheme="majorEastAsia"/>
          <w:sz w:val="28"/>
          <w:szCs w:val="28"/>
        </w:rPr>
        <w:t>２</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４　材料</w:t>
      </w:r>
      <w:r>
        <w:rPr>
          <w:rFonts w:asciiTheme="majorEastAsia" w:hAnsiTheme="majorEastAsia" w:eastAsiaTheme="majorEastAsia"/>
          <w:sz w:val="28"/>
          <w:szCs w:val="28"/>
        </w:rPr>
        <w:t>…………………………………………………………………</w:t>
      </w:r>
      <w:r>
        <w:rPr>
          <w:rFonts w:hint="eastAsia" w:asciiTheme="majorEastAsia" w:hAnsiTheme="majorEastAsia" w:eastAsiaTheme="majorEastAsia"/>
          <w:sz w:val="28"/>
          <w:szCs w:val="28"/>
        </w:rPr>
        <w:t>３</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５　安全管理</w:t>
      </w:r>
      <w:r>
        <w:rPr>
          <w:rFonts w:asciiTheme="majorEastAsia" w:hAnsiTheme="majorEastAsia" w:eastAsiaTheme="majorEastAsia"/>
          <w:sz w:val="28"/>
          <w:szCs w:val="28"/>
        </w:rPr>
        <w:t>……………………………………………………………</w:t>
      </w:r>
      <w:r>
        <w:rPr>
          <w:rFonts w:hint="eastAsia" w:asciiTheme="majorEastAsia" w:hAnsiTheme="majorEastAsia" w:eastAsiaTheme="majorEastAsia"/>
          <w:sz w:val="28"/>
          <w:szCs w:val="28"/>
        </w:rPr>
        <w:t>３</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６　完了</w:t>
      </w:r>
      <w:r>
        <w:rPr>
          <w:rFonts w:asciiTheme="majorEastAsia" w:hAnsiTheme="majorEastAsia" w:eastAsiaTheme="majorEastAsia"/>
          <w:sz w:val="28"/>
          <w:szCs w:val="28"/>
        </w:rPr>
        <w:t>…………………………………………………………………</w:t>
      </w:r>
      <w:r>
        <w:rPr>
          <w:rFonts w:hint="eastAsia" w:asciiTheme="majorEastAsia" w:hAnsiTheme="majorEastAsia" w:eastAsiaTheme="majorEastAsia"/>
          <w:sz w:val="28"/>
          <w:szCs w:val="28"/>
        </w:rPr>
        <w:t>４</w:t>
      </w:r>
    </w:p>
    <w:p>
      <w:pPr>
        <w:jc w:val="left"/>
        <w:rPr>
          <w:rFonts w:asciiTheme="majorEastAsia" w:hAnsiTheme="majorEastAsia" w:eastAsiaTheme="majorEastAsia"/>
          <w:sz w:val="40"/>
          <w:szCs w:val="40"/>
        </w:rPr>
      </w:pPr>
      <w:r>
        <w:rPr>
          <w:rFonts w:hint="eastAsia" w:asciiTheme="majorEastAsia" w:hAnsiTheme="majorEastAsia" w:eastAsiaTheme="majorEastAsia"/>
          <w:sz w:val="40"/>
          <w:szCs w:val="40"/>
        </w:rPr>
        <w:t>第２章　管 理 作 業</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１　一般事項</w:t>
      </w:r>
      <w:r>
        <w:rPr>
          <w:rFonts w:asciiTheme="majorEastAsia" w:hAnsiTheme="majorEastAsia" w:eastAsiaTheme="majorEastAsia"/>
          <w:sz w:val="28"/>
          <w:szCs w:val="28"/>
        </w:rPr>
        <w:t>……………………………………………………………</w:t>
      </w:r>
      <w:r>
        <w:rPr>
          <w:rFonts w:hint="eastAsia" w:asciiTheme="majorEastAsia" w:hAnsiTheme="majorEastAsia" w:eastAsiaTheme="majorEastAsia"/>
          <w:sz w:val="28"/>
          <w:szCs w:val="28"/>
        </w:rPr>
        <w:t>４</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２　清掃</w:t>
      </w:r>
      <w:r>
        <w:rPr>
          <w:rFonts w:asciiTheme="majorEastAsia" w:hAnsiTheme="majorEastAsia" w:eastAsiaTheme="majorEastAsia"/>
          <w:sz w:val="28"/>
          <w:szCs w:val="28"/>
        </w:rPr>
        <w:t>…………………………………………………………………</w:t>
      </w:r>
      <w:r>
        <w:rPr>
          <w:rFonts w:hint="eastAsia" w:asciiTheme="majorEastAsia" w:hAnsiTheme="majorEastAsia" w:eastAsiaTheme="majorEastAsia"/>
          <w:sz w:val="28"/>
          <w:szCs w:val="28"/>
        </w:rPr>
        <w:t>５</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３　除草・草刈り</w:t>
      </w:r>
      <w:r>
        <w:rPr>
          <w:rFonts w:asciiTheme="majorEastAsia" w:hAnsiTheme="majorEastAsia" w:eastAsiaTheme="majorEastAsia"/>
          <w:sz w:val="28"/>
          <w:szCs w:val="28"/>
        </w:rPr>
        <w:t>………………………………………………………</w:t>
      </w:r>
      <w:r>
        <w:rPr>
          <w:rFonts w:hint="eastAsia" w:asciiTheme="majorEastAsia" w:hAnsiTheme="majorEastAsia" w:eastAsiaTheme="majorEastAsia"/>
          <w:sz w:val="28"/>
          <w:szCs w:val="28"/>
        </w:rPr>
        <w:t>５</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４　病害虫防除</w:t>
      </w:r>
      <w:r>
        <w:rPr>
          <w:rFonts w:asciiTheme="majorEastAsia" w:hAnsiTheme="majorEastAsia" w:eastAsiaTheme="majorEastAsia"/>
          <w:sz w:val="28"/>
          <w:szCs w:val="28"/>
        </w:rPr>
        <w:t>…………………………………………………………</w:t>
      </w:r>
      <w:r>
        <w:rPr>
          <w:rFonts w:hint="eastAsia" w:asciiTheme="majorEastAsia" w:hAnsiTheme="majorEastAsia" w:eastAsiaTheme="majorEastAsia"/>
          <w:sz w:val="28"/>
          <w:szCs w:val="28"/>
        </w:rPr>
        <w:t>６</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５　芝生</w:t>
      </w:r>
      <w:r>
        <w:rPr>
          <w:rFonts w:asciiTheme="majorEastAsia" w:hAnsiTheme="majorEastAsia" w:eastAsiaTheme="majorEastAsia"/>
          <w:sz w:val="28"/>
          <w:szCs w:val="28"/>
        </w:rPr>
        <w:t>…………………………………………………………………</w:t>
      </w:r>
      <w:r>
        <w:rPr>
          <w:rFonts w:hint="eastAsia" w:asciiTheme="majorEastAsia" w:hAnsiTheme="majorEastAsia" w:eastAsiaTheme="majorEastAsia"/>
          <w:sz w:val="28"/>
          <w:szCs w:val="28"/>
        </w:rPr>
        <w:t>６</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６　樹木</w:t>
      </w:r>
      <w:r>
        <w:rPr>
          <w:rFonts w:asciiTheme="majorEastAsia" w:hAnsiTheme="majorEastAsia" w:eastAsiaTheme="majorEastAsia"/>
          <w:sz w:val="28"/>
          <w:szCs w:val="28"/>
        </w:rPr>
        <w:t>…………………………………………………………………</w:t>
      </w:r>
      <w:r>
        <w:rPr>
          <w:rFonts w:hint="eastAsia" w:asciiTheme="majorEastAsia" w:hAnsiTheme="majorEastAsia" w:eastAsiaTheme="majorEastAsia"/>
          <w:sz w:val="28"/>
          <w:szCs w:val="28"/>
        </w:rPr>
        <w:t>６</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７　その他</w:t>
      </w:r>
      <w:r>
        <w:rPr>
          <w:rFonts w:asciiTheme="majorEastAsia" w:hAnsiTheme="majorEastAsia" w:eastAsiaTheme="majorEastAsia"/>
          <w:sz w:val="28"/>
          <w:szCs w:val="28"/>
        </w:rPr>
        <w:t>………………………………………………………………</w:t>
      </w:r>
      <w:r>
        <w:rPr>
          <w:rFonts w:hint="eastAsia" w:asciiTheme="majorEastAsia" w:hAnsiTheme="majorEastAsia" w:eastAsiaTheme="majorEastAsia"/>
          <w:sz w:val="28"/>
          <w:szCs w:val="28"/>
        </w:rPr>
        <w:t>８</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別表（一）</w:t>
      </w:r>
      <w:r>
        <w:rPr>
          <w:rFonts w:asciiTheme="majorEastAsia" w:hAnsiTheme="majorEastAsia" w:eastAsiaTheme="majorEastAsia"/>
          <w:sz w:val="28"/>
          <w:szCs w:val="28"/>
        </w:rPr>
        <w:t>………………………………………………………………</w:t>
      </w:r>
      <w:r>
        <w:rPr>
          <w:rFonts w:hint="eastAsia" w:asciiTheme="majorEastAsia" w:hAnsiTheme="majorEastAsia" w:eastAsiaTheme="majorEastAsia"/>
          <w:sz w:val="28"/>
          <w:szCs w:val="28"/>
        </w:rPr>
        <w:t>９</w:t>
      </w:r>
    </w:p>
    <w:p>
      <w:pPr>
        <w:jc w:val="left"/>
        <w:rPr>
          <w:rFonts w:asciiTheme="majorEastAsia" w:hAnsiTheme="majorEastAsia" w:eastAsiaTheme="majorEastAsia"/>
          <w:sz w:val="24"/>
          <w:szCs w:val="24"/>
        </w:rPr>
      </w:pPr>
      <w:r>
        <w:rPr>
          <w:rFonts w:hint="eastAsia" w:asciiTheme="majorEastAsia" w:hAnsiTheme="majorEastAsia" w:eastAsiaTheme="majorEastAsia"/>
          <w:sz w:val="28"/>
          <w:szCs w:val="28"/>
        </w:rPr>
        <w:t>別表（二）</w:t>
      </w:r>
      <w:r>
        <w:rPr>
          <w:rFonts w:asciiTheme="majorEastAsia" w:hAnsiTheme="majorEastAsia" w:eastAsiaTheme="majorEastAsia"/>
          <w:sz w:val="28"/>
          <w:szCs w:val="28"/>
        </w:rPr>
        <w:t>………………………………………………………………</w:t>
      </w:r>
      <w:r>
        <w:rPr>
          <w:rFonts w:hint="eastAsia" w:asciiTheme="majorEastAsia" w:hAnsiTheme="majorEastAsia" w:eastAsiaTheme="majorEastAsia"/>
          <w:sz w:val="28"/>
          <w:szCs w:val="28"/>
        </w:rPr>
        <w:t>１０</w:t>
      </w:r>
    </w:p>
    <w:p>
      <w:pPr>
        <w:jc w:val="left"/>
        <w:rPr>
          <w:rFonts w:asciiTheme="majorEastAsia" w:hAnsiTheme="majorEastAsia" w:eastAsiaTheme="majorEastAsia"/>
          <w:sz w:val="24"/>
          <w:szCs w:val="24"/>
        </w:rPr>
        <w:sectPr>
          <w:pgSz w:w="11906" w:h="16838"/>
          <w:pgMar w:top="1440" w:right="1080" w:bottom="1440" w:left="1080" w:header="851" w:footer="992" w:gutter="0"/>
          <w:cols w:space="425" w:num="1"/>
          <w:docGrid w:type="lines" w:linePitch="360" w:charSpace="0"/>
        </w:sectPr>
      </w:pPr>
    </w:p>
    <w:p>
      <w:pPr>
        <w:widowControl/>
        <w:jc w:val="center"/>
        <w:rPr>
          <w:rFonts w:asciiTheme="majorEastAsia" w:hAnsiTheme="majorEastAsia" w:eastAsiaTheme="majorEastAsia"/>
          <w:sz w:val="40"/>
          <w:szCs w:val="40"/>
        </w:rPr>
      </w:pPr>
      <w:r>
        <w:rPr>
          <w:rFonts w:hint="eastAsia" w:asciiTheme="majorEastAsia" w:hAnsiTheme="majorEastAsia" w:eastAsiaTheme="majorEastAsia"/>
          <w:sz w:val="40"/>
          <w:szCs w:val="40"/>
        </w:rPr>
        <w:t>第１章　総　　　　　則</w:t>
      </w:r>
    </w:p>
    <w:p>
      <w:pPr>
        <w:widowControl/>
        <w:jc w:val="left"/>
        <w:rPr>
          <w:rFonts w:asciiTheme="majorEastAsia" w:hAnsiTheme="majorEastAsia" w:eastAsiaTheme="majorEastAsia"/>
          <w:sz w:val="32"/>
          <w:szCs w:val="32"/>
        </w:rPr>
      </w:pPr>
      <w:r>
        <w:rPr>
          <w:rFonts w:hint="eastAsia" w:asciiTheme="majorEastAsia" w:hAnsiTheme="majorEastAsia" w:eastAsiaTheme="majorEastAsia"/>
          <w:sz w:val="32"/>
          <w:szCs w:val="32"/>
        </w:rPr>
        <w:t>第１節　一 般 事 項</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適用</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この仕様書は、〇〇〇管理組合が発注する植栽に関わる委託作業（以下「委託作業」）に適用する。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委託作業は、それぞれの作業に応じ、本仕様書に定める仕様に従い施行する。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本仕様書の定めと特記仕様書の定めが異なるときは、特記仕様書の定める仕様に従い施行する。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この仕様書に定めのない事項については、監督員の指示に従い施行する。</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費用負担</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材料及び官公署への届出手続きに必要な費用は受注者の負担とする。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受注者が業務を行う為に必要な水、電力に要する費用は管理組合の負担とする。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その他業務を実施するために必要な資器材、消耗品等はすべて受注者の負担において調達するものとする。</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監督員</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監督員は、原則として管理組合からマンション管理業務の委託を受けた者（管理員等）が立会業務の一環としてその業務を行うこととし、受注者と適宜協議を行いながら、本仕様書の内容が適切に施行されているかを確認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管理組合は、必要があるときは組合員をもって監督員を補佐し、助言を与えることができる。監督員はその助言をもとに、本仕様書の範囲内において、受注者に対し適切な指示を行うものとする。</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第１項の原則は、監督員となる予定の者に故障がある場合もしくは管理組合理事会の承認により、組合員がこれを代行することを妨げないものとする。</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法令等の遵守及び手続代行</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作業施行にあたっては、関係する法令、条例及び規則等を遵守し作業の円滑な進捗を図ること。また、官公署への必要な届出手続等は、速やかに処理すること。</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作業施行に関して、関係官公署やマンション居住者、付近住民及び利用者と交渉を要するとき、または交渉を受けたときは、速やかに監督員と協議すること。</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軽微な変更</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良好な植栽を維持していくために、現場の状況などにより、作業位置あるいは方法を変更する場合には、監督員と協議のうえ施行すること。</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関係書類の提出</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受注者は別表（一）の内容に基づき、関係書類を提出すること。但し、記載のない資料の提出を妨げないものとする。</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疑義の解釈</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仕様書に定める事項について、疑義を生じた場合の解釈及び本作業の細目については監督員の指示に従うこと。</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報告</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マンション敷地内作業において、不審物等を発見した場合は直ちに監督員に報告すること。</w:t>
      </w:r>
    </w:p>
    <w:p>
      <w:pPr>
        <w:pStyle w:val="20"/>
        <w:numPr>
          <w:ilvl w:val="0"/>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見積事項と施工内容の乖離防止</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見積事項と施工内容が乖離することを防止するため、受注者は監督員に対し、事前に施工範囲及び施工前後の違いを十分に説明し了承を得てから施工すること。</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受注者は、各工程の施工中もしくは施工後において当初の見積事項と施工内容が異なることを監督員より指摘された場合は直ちに施工を中断し、互いに協議すること。</w:t>
      </w:r>
    </w:p>
    <w:p>
      <w:pPr>
        <w:pStyle w:val="20"/>
        <w:numPr>
          <w:ilvl w:val="1"/>
          <w:numId w:val="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監督員は、前項における協議を行った場合は、遅滞なく管理組合にその内容を報告すること。</w:t>
      </w:r>
    </w:p>
    <w:p>
      <w:pPr>
        <w:jc w:val="left"/>
        <w:rPr>
          <w:rFonts w:asciiTheme="majorEastAsia" w:hAnsiTheme="majorEastAsia" w:eastAsiaTheme="majorEastAsia"/>
          <w:sz w:val="32"/>
          <w:szCs w:val="32"/>
        </w:rPr>
      </w:pPr>
      <w:r>
        <w:rPr>
          <w:rFonts w:hint="eastAsia" w:asciiTheme="majorEastAsia" w:hAnsiTheme="majorEastAsia" w:eastAsiaTheme="majorEastAsia"/>
          <w:sz w:val="32"/>
          <w:szCs w:val="32"/>
        </w:rPr>
        <w:t>第２節　着　　　手</w:t>
      </w:r>
    </w:p>
    <w:p>
      <w:pPr>
        <w:pStyle w:val="20"/>
        <w:numPr>
          <w:ilvl w:val="0"/>
          <w:numId w:val="3"/>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作業の着手</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　作業の着手は、原則として契約締結後、管理組合が定める期間内に行う。</w:t>
      </w:r>
    </w:p>
    <w:p>
      <w:pPr>
        <w:pStyle w:val="20"/>
        <w:numPr>
          <w:ilvl w:val="0"/>
          <w:numId w:val="3"/>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作業工程の提出</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受注者は、作業の着手に先立ち作業工程を事前に監督員に提出すること。</w:t>
      </w:r>
    </w:p>
    <w:p>
      <w:pPr>
        <w:pStyle w:val="20"/>
        <w:ind w:left="0" w:leftChars="0"/>
        <w:jc w:val="left"/>
        <w:rPr>
          <w:rFonts w:asciiTheme="majorEastAsia" w:hAnsiTheme="majorEastAsia" w:eastAsiaTheme="majorEastAsia"/>
          <w:sz w:val="32"/>
          <w:szCs w:val="32"/>
        </w:rPr>
      </w:pPr>
      <w:r>
        <w:rPr>
          <w:rFonts w:hint="eastAsia" w:asciiTheme="majorEastAsia" w:hAnsiTheme="majorEastAsia" w:eastAsiaTheme="majorEastAsia"/>
          <w:sz w:val="32"/>
          <w:szCs w:val="32"/>
        </w:rPr>
        <w:t>第３節　作 業 の 適 正 化</w:t>
      </w:r>
    </w:p>
    <w:p>
      <w:pPr>
        <w:pStyle w:val="20"/>
        <w:numPr>
          <w:ilvl w:val="0"/>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委託作業</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　委託作業については、すべて本仕様書及び受注者にて作成した資料に基づき、監督員の指示に従って作業しなければならない。また、次の工程に移る場合は監督員へ報告することとし、監督員より指示があった場合にはその承諾を得ること。</w:t>
      </w:r>
    </w:p>
    <w:p>
      <w:pPr>
        <w:pStyle w:val="20"/>
        <w:numPr>
          <w:ilvl w:val="0"/>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工程管理</w:t>
      </w:r>
    </w:p>
    <w:p>
      <w:pPr>
        <w:pStyle w:val="20"/>
        <w:numPr>
          <w:ilvl w:val="1"/>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発注者は作業工程表により適正な施行管理を行うものとする。</w:t>
      </w:r>
    </w:p>
    <w:p>
      <w:pPr>
        <w:pStyle w:val="20"/>
        <w:numPr>
          <w:ilvl w:val="1"/>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現行の作業工程表に変更が生じ、その内容が重要な場合にはその都度、変更した作業工程表を提出すること。</w:t>
      </w:r>
    </w:p>
    <w:p>
      <w:pPr>
        <w:pStyle w:val="20"/>
        <w:numPr>
          <w:ilvl w:val="0"/>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事前協議</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特に施行時期の定められたもの、及び施行時期を逸すると効果の期待できない作業については、監督員もしくは管理組合と事前に協議し作業の進行を図ること。</w:t>
      </w:r>
    </w:p>
    <w:p>
      <w:pPr>
        <w:pStyle w:val="20"/>
        <w:numPr>
          <w:ilvl w:val="0"/>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早朝作業</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委託作業の都合上、早朝作業を必要とする場合は監督員の承諾を得ること。</w:t>
      </w:r>
    </w:p>
    <w:p>
      <w:pPr>
        <w:pStyle w:val="20"/>
        <w:numPr>
          <w:ilvl w:val="0"/>
          <w:numId w:val="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休日等の作業</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委託作業の都合上、休日等に作業を必要とする場合は監督員の承諾を得ること。</w:t>
      </w:r>
    </w:p>
    <w:p>
      <w:pPr>
        <w:pStyle w:val="20"/>
        <w:numPr>
          <w:ilvl w:val="0"/>
          <w:numId w:val="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作業用機械器具等</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　作業用機械器具、道具類は、各作業に適するものを使用すること。また、監督員が不適当と認めたときは、取替を指示することがある。</w:t>
      </w:r>
    </w:p>
    <w:p>
      <w:pPr>
        <w:pStyle w:val="20"/>
        <w:numPr>
          <w:ilvl w:val="0"/>
          <w:numId w:val="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作業記録写真</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受注者は、作業記録写真を撮影し、随時、監督員が点検できるよう整理するとともに、編集して施行完了の際に作業記録として提出すること。</w:t>
      </w:r>
    </w:p>
    <w:p>
      <w:pPr>
        <w:pStyle w:val="20"/>
        <w:numPr>
          <w:ilvl w:val="0"/>
          <w:numId w:val="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作業の確認</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受注者は、作業の確認を要する時点において、監督員の確認を受けること。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第４節　材　　　料</w:t>
      </w:r>
    </w:p>
    <w:p>
      <w:pPr>
        <w:pStyle w:val="20"/>
        <w:ind w:left="420" w:leftChars="0"/>
        <w:jc w:val="left"/>
        <w:rPr>
          <w:rFonts w:asciiTheme="majorEastAsia" w:hAnsiTheme="majorEastAsia" w:eastAsiaTheme="majorEastAsia"/>
          <w:szCs w:val="21"/>
        </w:rPr>
      </w:pPr>
      <w:r>
        <w:rPr>
          <w:rFonts w:hint="eastAsia" w:asciiTheme="majorEastAsia" w:hAnsiTheme="majorEastAsia" w:eastAsiaTheme="majorEastAsia"/>
          <w:szCs w:val="21"/>
        </w:rPr>
        <w:t>使用材料は、受注者の責任において整理保管すること。また、品質不良と認められるものは、直ちにこれを搬出すること。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第５節　安 全 管 理</w:t>
      </w:r>
    </w:p>
    <w:p>
      <w:pPr>
        <w:pStyle w:val="20"/>
        <w:numPr>
          <w:ilvl w:val="0"/>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一般事項</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受注者は、委託作業の安全管理については、「労働安全衛生法」等関係法規の定めるところにより、常に安全管理に必要な処置を講じ、労働災害発生の防止に努めること。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受注者は作業現場が隣接し、または、同一場所において別途作業等がある場合は、常に相互協調して安全管理に支障をきたさないよう処置すること。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豪雨、出水その他災害に対しては、平素から気象予報などについて十分な注意を払い、常にこれに対処できる準備をしておくこと。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薬剤及び石油類等の危険物を使用する場合は、その保管及び取り扱いについては、関係法規の定めるところに従い、万全の方策を講じること。</w:t>
      </w:r>
    </w:p>
    <w:p>
      <w:pPr>
        <w:pStyle w:val="20"/>
        <w:numPr>
          <w:ilvl w:val="0"/>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交通及び保安上の措置</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受注者は委託作業中、交通の障害となる行為、その他公衆に迷惑を及ぼす行為のないよう、次の事項に留意し、交通及び保安上十分な措置を講ずること。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交通及び保安に関する作業については、関係官公署の指示事項を遵守し、十分な施設を施すこと。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委託作業のため交通等を禁止し、または制限する必要があるときは、監督員と協議のうえ関係官公署の許可を得て所定箇所に指定の表示をするなど、十分な施設を施すこと。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作業区域内に車両または歩行者に通行があるときは、これらの交通に安全な施設を施すとともに、必要に応じて交通整理員をおくこと。</w:t>
      </w:r>
    </w:p>
    <w:p>
      <w:pPr>
        <w:pStyle w:val="20"/>
        <w:numPr>
          <w:ilvl w:val="0"/>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事故防止</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受注者は、公衆の生命、身体及び財産に関する危害・迷惑を防止するため、必要な措置を講ずること。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受注者は、地上及び地下工作物、樹木等に損失を与え、または機能を阻害しないよう、十分注意するとともに、適切な防護措置を講ずること。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受注者は、委託作業について障害等を発見した場合は、遅滞なく監督員に申し出て、その指示をうけること。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中、作業の実施に影響を及ぼす事故、人身に損傷を生じた事故、または第三者に損害を与えた事故等が発生した場合は、応急処置等所要の措置を講ずるとともに事故発生原因及び経過、被害の内容等について遅滞なく監督員に報告すること。</w:t>
      </w:r>
    </w:p>
    <w:p>
      <w:pPr>
        <w:pStyle w:val="20"/>
        <w:numPr>
          <w:ilvl w:val="0"/>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委託現場</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受注者は、委託作業の安全を図るため、作業区画においては作業関係者以外の進入立ち入りを防止するため封鎖するとともに、作業標示板等の必要な対策を講ずること。特に、２ｍ以上の高所作業については、ヘルメットや安全ベルト等の着用を徹底し、作業者自身の安全を確保す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委託作業中の現場、用具置場等に作業関係者以外の者（特に幼児、学童等）及び車両が立ち入ることのないように柵、またはこれに類するもので、他と明確に区分すること。</w:t>
      </w:r>
    </w:p>
    <w:p>
      <w:pPr>
        <w:pStyle w:val="20"/>
        <w:numPr>
          <w:ilvl w:val="0"/>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委託用機械器具</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機械類を使用、または移動させる場合は、関係法規の定めを厳守し、架空線、埋設物、道路及びその他構造物等に損傷を与えることのないよう常に注意すること。</w:t>
      </w:r>
    </w:p>
    <w:p>
      <w:pPr>
        <w:pStyle w:val="20"/>
        <w:numPr>
          <w:ilvl w:val="1"/>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機械類を休止させておく場合、または操作している者が、一時的に受持ち場所を離れる場合は、原動機を止め電源を切る等の事故防止に必要な措置を講ずること。</w:t>
      </w:r>
    </w:p>
    <w:p>
      <w:pPr>
        <w:pStyle w:val="20"/>
        <w:numPr>
          <w:ilvl w:val="0"/>
          <w:numId w:val="6"/>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現場の整理整頓</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受注者は作業中、機械器具、不用土砂等を交通及び保安上の障害とならないよう、現場内を常に整理整頓しておくこと。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第６節　完　　　了</w:t>
      </w:r>
    </w:p>
    <w:p>
      <w:pPr>
        <w:pStyle w:val="20"/>
        <w:numPr>
          <w:ilvl w:val="0"/>
          <w:numId w:val="7"/>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後片付け</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受注者は、作業の完了に先立ち速やかに不用材料を整理し、仮設物等を撤去して現場内外の清掃及び後片付けを完全にすること。</w:t>
      </w:r>
    </w:p>
    <w:p>
      <w:pPr>
        <w:pStyle w:val="20"/>
        <w:numPr>
          <w:ilvl w:val="0"/>
          <w:numId w:val="7"/>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完了の報告</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受注者は、作業が完了次第、その旨を直ちに監督員に報告すること。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Cs w:val="21"/>
        </w:rPr>
      </w:pPr>
    </w:p>
    <w:p>
      <w:pPr>
        <w:pStyle w:val="20"/>
        <w:ind w:left="0" w:leftChars="0"/>
        <w:jc w:val="center"/>
        <w:rPr>
          <w:rFonts w:asciiTheme="majorEastAsia" w:hAnsiTheme="majorEastAsia" w:eastAsiaTheme="majorEastAsia"/>
          <w:sz w:val="40"/>
          <w:szCs w:val="40"/>
        </w:rPr>
      </w:pPr>
      <w:r>
        <w:rPr>
          <w:rFonts w:hint="eastAsia" w:asciiTheme="majorEastAsia" w:hAnsiTheme="majorEastAsia" w:eastAsiaTheme="majorEastAsia"/>
          <w:sz w:val="40"/>
          <w:szCs w:val="40"/>
        </w:rPr>
        <w:t>第２章　管 理 作 業</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2"/>
          <w:szCs w:val="32"/>
        </w:rPr>
      </w:pPr>
      <w:r>
        <w:rPr>
          <w:rFonts w:hint="eastAsia" w:asciiTheme="majorEastAsia" w:hAnsiTheme="majorEastAsia" w:eastAsiaTheme="majorEastAsia"/>
          <w:sz w:val="32"/>
          <w:szCs w:val="32"/>
        </w:rPr>
        <w:t>第１節　一 般 事 項</w:t>
      </w:r>
    </w:p>
    <w:p>
      <w:pPr>
        <w:pStyle w:val="20"/>
        <w:numPr>
          <w:ilvl w:val="0"/>
          <w:numId w:val="8"/>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適用範囲</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マンション敷地における植栽管理作業及びそれに関係する作業に適用する。</w:t>
      </w:r>
    </w:p>
    <w:p>
      <w:pPr>
        <w:pStyle w:val="20"/>
        <w:numPr>
          <w:ilvl w:val="0"/>
          <w:numId w:val="8"/>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植物への配慮</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当該管理作業の目的及び当該管理作業が対象植物に及ぼす影響の強さ等を十分理解し、特に生き物としての植物に対する細心の注意と愛情をもって、あたるよう努めるものとする。</w:t>
      </w:r>
    </w:p>
    <w:p>
      <w:pPr>
        <w:pStyle w:val="20"/>
        <w:numPr>
          <w:ilvl w:val="0"/>
          <w:numId w:val="8"/>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施設への配慮</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マンション敷地内施設並びに、その周辺の施設及び車両等においては、その機能及び利用度等に、支障を来たすおそれのないよう十分注意し、万全の策を講ずると共に支障のある場合は、速やかに監督員に報告すること。</w:t>
      </w:r>
    </w:p>
    <w:p>
      <w:pPr>
        <w:pStyle w:val="20"/>
        <w:numPr>
          <w:ilvl w:val="0"/>
          <w:numId w:val="8"/>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利用者その他への配慮</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安全に十分注意し、ケガ、損傷等を生じた場合においては、すべて受注者の責任において処置するとともに、速やかに監督員に報告すること。また、マンション居住者に不信感を与えることのないよう誠意をもって行う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第２節　清　　　掃</w:t>
      </w:r>
    </w:p>
    <w:p>
      <w:pPr>
        <w:pStyle w:val="20"/>
        <w:numPr>
          <w:ilvl w:val="0"/>
          <w:numId w:val="9"/>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作業によって生じたゴミは、取りこぼしのないようきれいにかき集めること。なお、清掃用機械を使用する場合は監督員と協議すること。</w:t>
      </w:r>
    </w:p>
    <w:p>
      <w:pPr>
        <w:pStyle w:val="20"/>
        <w:numPr>
          <w:ilvl w:val="0"/>
          <w:numId w:val="9"/>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作業によってＬ型溝、Ｕ字溝、集水桝等に枝葉が入った場合は、入念に取り除き、排水を良好な状態に保つよう努めること。</w:t>
      </w:r>
    </w:p>
    <w:p>
      <w:pPr>
        <w:pStyle w:val="20"/>
        <w:numPr>
          <w:ilvl w:val="0"/>
          <w:numId w:val="9"/>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砂利道は、ゴミ等を取り除いた後、両側に散乱した砂利をホウキ、熊手等により中央に戻し、むらのないよう均一にならすこと。</w:t>
      </w:r>
    </w:p>
    <w:p>
      <w:pPr>
        <w:pStyle w:val="20"/>
        <w:numPr>
          <w:ilvl w:val="0"/>
          <w:numId w:val="10"/>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下木内のゴミ等は、下木類を傷めないよう注意して取り除くこと。</w:t>
      </w:r>
    </w:p>
    <w:p>
      <w:pPr>
        <w:pStyle w:val="20"/>
        <w:numPr>
          <w:ilvl w:val="0"/>
          <w:numId w:val="10"/>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ブロワーの使用については監督員と協議することとし、利用者や周辺住民に迷惑がかからないよう十分注意すること。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第３節　除 草・草 刈 り</w:t>
      </w:r>
    </w:p>
    <w:p>
      <w:pPr>
        <w:pStyle w:val="20"/>
        <w:numPr>
          <w:ilvl w:val="0"/>
          <w:numId w:val="11"/>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除草</w:t>
      </w:r>
    </w:p>
    <w:p>
      <w:pPr>
        <w:pStyle w:val="20"/>
        <w:numPr>
          <w:ilvl w:val="1"/>
          <w:numId w:val="12"/>
        </w:numPr>
        <w:ind w:leftChars="0"/>
        <w:jc w:val="left"/>
        <w:rPr>
          <w:rFonts w:asciiTheme="majorEastAsia" w:hAnsiTheme="majorEastAsia" w:eastAsiaTheme="majorEastAsia"/>
          <w:strike/>
          <w:color w:val="5B9BD5" w:themeColor="accent1"/>
          <w:szCs w:val="21"/>
          <w14:textFill>
            <w14:solidFill>
              <w14:schemeClr w14:val="accent1"/>
            </w14:solidFill>
          </w14:textFill>
        </w:rPr>
      </w:pPr>
      <w:r>
        <w:rPr>
          <w:rFonts w:hint="eastAsia" w:asciiTheme="majorEastAsia" w:hAnsiTheme="majorEastAsia" w:eastAsiaTheme="majorEastAsia"/>
          <w:szCs w:val="21"/>
        </w:rPr>
        <w:t>当該作業にあたっては、樹木類（地被等を含む）を傷めないよう、十分に注意しながら行い、その抜き跡は凸凹のないよう付近の土で埋戻しをすること。</w:t>
      </w:r>
    </w:p>
    <w:p>
      <w:pPr>
        <w:pStyle w:val="20"/>
        <w:numPr>
          <w:ilvl w:val="1"/>
          <w:numId w:val="1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除草・草刈り・芝刈り作業にあたり、乾燥して埃がたつときは、水まき等の対策を講ずること。</w:t>
      </w:r>
    </w:p>
    <w:p>
      <w:pPr>
        <w:pStyle w:val="20"/>
        <w:numPr>
          <w:ilvl w:val="1"/>
          <w:numId w:val="1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作業は、刈草が風により飛散し利用者・周辺住民に迷惑がかからないよう風向きには十分注意し、強風時には作業を中止すること。</w:t>
      </w:r>
    </w:p>
    <w:p>
      <w:pPr>
        <w:pStyle w:val="20"/>
        <w:numPr>
          <w:ilvl w:val="0"/>
          <w:numId w:val="1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草刈り</w:t>
      </w:r>
    </w:p>
    <w:p>
      <w:pPr>
        <w:pStyle w:val="20"/>
        <w:numPr>
          <w:ilvl w:val="1"/>
          <w:numId w:val="1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草刈りは敷地内に繁茂している雑草類をカマ、刈払機、その他の機具を用いて、地際より丁寧に刈り取るものとする。</w:t>
      </w:r>
    </w:p>
    <w:p>
      <w:pPr>
        <w:pStyle w:val="20"/>
        <w:numPr>
          <w:ilvl w:val="1"/>
          <w:numId w:val="12"/>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作業は樹木類を傷つけないよう、十分注意するとともに利用者等に損傷を与えないよう作業箇所及び、その周辺の安全確保に留意すること。特に、動力草刈機械を用いるときは、十分注意すること。</w:t>
      </w:r>
    </w:p>
    <w:p>
      <w:pPr>
        <w:pStyle w:val="20"/>
        <w:ind w:left="0" w:leftChars="0"/>
        <w:jc w:val="left"/>
        <w:rPr>
          <w:rFonts w:asciiTheme="majorEastAsia" w:hAnsiTheme="majorEastAsia" w:eastAsiaTheme="majorEastAsia"/>
          <w:szCs w:val="21"/>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第４節　病 害 虫 防 除</w:t>
      </w:r>
    </w:p>
    <w:p>
      <w:pPr>
        <w:pStyle w:val="20"/>
        <w:numPr>
          <w:ilvl w:val="0"/>
          <w:numId w:val="13"/>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病害虫の防除にあたって薬剤を使用する場合は、「農薬取締法」等各種規制法令に基づいて適切に使用すること。</w:t>
      </w:r>
    </w:p>
    <w:p>
      <w:pPr>
        <w:pStyle w:val="20"/>
        <w:numPr>
          <w:ilvl w:val="0"/>
          <w:numId w:val="13"/>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薬剤は動力噴霧器等を用い、展着剤と併用しながら適切な濃度に調整して使用すること。</w:t>
      </w:r>
    </w:p>
    <w:p>
      <w:pPr>
        <w:pStyle w:val="20"/>
        <w:numPr>
          <w:ilvl w:val="0"/>
          <w:numId w:val="13"/>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当該薬剤を使用する場合は、事前にマンション居住者に対し、掲示板への張り紙を用いて周知を徹底することとし、実際に当該作業をする前には監督員にその開始を報告すること。</w:t>
      </w:r>
    </w:p>
    <w:p>
      <w:pPr>
        <w:pStyle w:val="20"/>
        <w:ind w:left="0" w:leftChars="0"/>
        <w:jc w:val="left"/>
        <w:rPr>
          <w:rFonts w:asciiTheme="majorEastAsia" w:hAnsiTheme="majorEastAsia" w:eastAsiaTheme="majorEastAsia"/>
          <w:szCs w:val="21"/>
          <w:u w:val="single"/>
        </w:rPr>
      </w:pPr>
    </w:p>
    <w:p>
      <w:pPr>
        <w:pStyle w:val="20"/>
        <w:ind w:left="0" w:leftChars="0"/>
        <w:jc w:val="left"/>
        <w:rPr>
          <w:rFonts w:asciiTheme="majorEastAsia" w:hAnsiTheme="majorEastAsia" w:eastAsiaTheme="majorEastAsia"/>
          <w:sz w:val="36"/>
          <w:szCs w:val="36"/>
        </w:rPr>
      </w:pPr>
      <w:r>
        <w:rPr>
          <w:rFonts w:hint="eastAsia" w:asciiTheme="majorEastAsia" w:hAnsiTheme="majorEastAsia" w:eastAsiaTheme="majorEastAsia"/>
          <w:sz w:val="36"/>
          <w:szCs w:val="36"/>
        </w:rPr>
        <w:t>第５節　芝　　　生</w:t>
      </w:r>
    </w:p>
    <w:p>
      <w:pPr>
        <w:pStyle w:val="20"/>
        <w:numPr>
          <w:ilvl w:val="0"/>
          <w:numId w:val="1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刈込み</w:t>
      </w:r>
    </w:p>
    <w:p>
      <w:pPr>
        <w:pStyle w:val="20"/>
        <w:numPr>
          <w:ilvl w:val="1"/>
          <w:numId w:val="1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刈込みは芝生地内にある、樹木、株物、施設等を損傷しないよう注意し、刈りむら、刈残しのないよう均一に刈込むこと。</w:t>
      </w:r>
    </w:p>
    <w:p>
      <w:pPr>
        <w:pStyle w:val="20"/>
        <w:numPr>
          <w:ilvl w:val="1"/>
          <w:numId w:val="1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刈込高は原則として、30～50</w:t>
      </w:r>
      <w:r>
        <w:rPr>
          <w:rFonts w:asciiTheme="majorEastAsia" w:hAnsiTheme="majorEastAsia" w:eastAsiaTheme="majorEastAsia"/>
          <w:szCs w:val="21"/>
        </w:rPr>
        <w:t>mm</w:t>
      </w:r>
      <w:r>
        <w:rPr>
          <w:rFonts w:hint="eastAsia" w:asciiTheme="majorEastAsia" w:hAnsiTheme="majorEastAsia" w:eastAsiaTheme="majorEastAsia"/>
          <w:szCs w:val="21"/>
        </w:rPr>
        <w:t>とするが、支障がある場合は監督員と協議すること。</w:t>
      </w:r>
    </w:p>
    <w:p>
      <w:pPr>
        <w:pStyle w:val="20"/>
        <w:numPr>
          <w:ilvl w:val="1"/>
          <w:numId w:val="14"/>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刈り取った芝は、速やかに処理するとともに、刈り跡はきれいに清掃すること。</w:t>
      </w:r>
    </w:p>
    <w:p>
      <w:pPr>
        <w:pStyle w:val="20"/>
        <w:numPr>
          <w:ilvl w:val="1"/>
          <w:numId w:val="1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刈込みに先立ち、作業箇所の小石等危険物の除去を行うこと。</w:t>
      </w:r>
    </w:p>
    <w:p>
      <w:pPr>
        <w:pStyle w:val="20"/>
        <w:numPr>
          <w:ilvl w:val="0"/>
          <w:numId w:val="1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施肥</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所定の肥料を芝生面にむらのないよう、均一に散布すること。</w:t>
      </w:r>
    </w:p>
    <w:p>
      <w:pPr>
        <w:pStyle w:val="20"/>
        <w:numPr>
          <w:ilvl w:val="0"/>
          <w:numId w:val="1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除草</w:t>
      </w:r>
    </w:p>
    <w:p>
      <w:pPr>
        <w:pStyle w:val="20"/>
        <w:ind w:left="571" w:leftChars="272"/>
        <w:jc w:val="left"/>
        <w:rPr>
          <w:rFonts w:asciiTheme="majorEastAsia" w:hAnsiTheme="majorEastAsia" w:eastAsiaTheme="majorEastAsia"/>
          <w:szCs w:val="21"/>
        </w:rPr>
      </w:pPr>
      <w:r>
        <w:rPr>
          <w:rFonts w:hint="eastAsia" w:asciiTheme="majorEastAsia" w:hAnsiTheme="majorEastAsia" w:eastAsiaTheme="majorEastAsia"/>
          <w:szCs w:val="21"/>
        </w:rPr>
        <w:t>抜き取った雑草は、その都度、集積し、速やかに処理すると共に、除草跡はきれいに清掃すること。</w:t>
      </w:r>
    </w:p>
    <w:p>
      <w:pPr>
        <w:pStyle w:val="20"/>
        <w:numPr>
          <w:ilvl w:val="0"/>
          <w:numId w:val="15"/>
        </w:numPr>
        <w:ind w:leftChars="0"/>
        <w:jc w:val="left"/>
        <w:rPr>
          <w:rFonts w:asciiTheme="majorEastAsia" w:hAnsiTheme="majorEastAsia" w:eastAsiaTheme="majorEastAsia"/>
          <w:szCs w:val="21"/>
        </w:rPr>
      </w:pPr>
      <w:r>
        <w:rPr>
          <w:rFonts w:hint="eastAsia" w:asciiTheme="majorEastAsia" w:hAnsiTheme="majorEastAsia" w:eastAsiaTheme="majorEastAsia"/>
          <w:szCs w:val="21"/>
        </w:rPr>
        <w:t>病害虫防除</w:t>
      </w:r>
    </w:p>
    <w:p>
      <w:pPr>
        <w:pStyle w:val="20"/>
        <w:ind w:left="425" w:leftChars="0"/>
        <w:jc w:val="left"/>
        <w:rPr>
          <w:rFonts w:asciiTheme="majorEastAsia" w:hAnsiTheme="majorEastAsia" w:eastAsiaTheme="majorEastAsia"/>
          <w:szCs w:val="21"/>
        </w:rPr>
      </w:pPr>
      <w:r>
        <w:rPr>
          <w:rFonts w:hint="eastAsia" w:asciiTheme="majorEastAsia" w:hAnsiTheme="majorEastAsia" w:eastAsiaTheme="majorEastAsia"/>
          <w:szCs w:val="21"/>
        </w:rPr>
        <w:t>　第４節病害虫防除に準じて行う。</w:t>
      </w:r>
    </w:p>
    <w:p>
      <w:pPr>
        <w:ind w:left="425"/>
        <w:rPr>
          <w:rFonts w:asciiTheme="majorEastAsia" w:hAnsiTheme="majorEastAsia" w:eastAsiaTheme="majorEastAsia"/>
          <w:szCs w:val="21"/>
        </w:rPr>
      </w:pPr>
    </w:p>
    <w:p>
      <w:pPr>
        <w:rPr>
          <w:rFonts w:asciiTheme="majorEastAsia" w:hAnsiTheme="majorEastAsia" w:eastAsiaTheme="majorEastAsia"/>
          <w:sz w:val="36"/>
          <w:szCs w:val="36"/>
        </w:rPr>
      </w:pPr>
      <w:r>
        <w:rPr>
          <w:rFonts w:hint="eastAsia" w:asciiTheme="majorEastAsia" w:hAnsiTheme="majorEastAsia" w:eastAsiaTheme="majorEastAsia"/>
          <w:sz w:val="36"/>
          <w:szCs w:val="36"/>
        </w:rPr>
        <w:t>第６節　樹　　　木</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中高木手入れ</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樹木の特性に応じて枝を切り詰めるとともに、枯枝、並行枝、からみ枝、徒長枝そのほか景観上、樹木の生育上不必要な枝（胴吹き、ひこばえ）などを切除すること。</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切り詰める程度は、樹冠を一定の大きさに保つための剪定（弱剪定）又は樹木の骨格を形づくるための主枝及び主枝に準ずる枝の剪定（強剪定）とする。また、剪定は切断箇所の表皮がはがれないよう配慮することとし、太枝の切断面には必要に応じて防腐処理を施すこと。</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主枝及び主枝に準ずる枝の切除の位置については、別表（二）「バーク・リッジ剪定法」を原則とし、他の剪定法によるときは、施工前にその旨を監督員に説明し、了承を得た後に施工すること。</w:t>
      </w:r>
    </w:p>
    <w:p>
      <w:pPr>
        <w:pStyle w:val="20"/>
        <w:numPr>
          <w:ilvl w:val="0"/>
          <w:numId w:val="16"/>
        </w:numPr>
        <w:ind w:leftChars="0"/>
        <w:rPr>
          <w:rFonts w:asciiTheme="majorEastAsia" w:hAnsiTheme="majorEastAsia" w:eastAsiaTheme="majorEastAsia"/>
          <w:szCs w:val="21"/>
          <w:u w:val="single"/>
        </w:rPr>
      </w:pPr>
      <w:r>
        <w:rPr>
          <w:rFonts w:hint="eastAsia" w:asciiTheme="majorEastAsia" w:hAnsiTheme="majorEastAsia" w:eastAsiaTheme="majorEastAsia"/>
          <w:szCs w:val="21"/>
        </w:rPr>
        <w:t>下木手入れ</w:t>
      </w:r>
    </w:p>
    <w:p>
      <w:pPr>
        <w:pStyle w:val="20"/>
        <w:ind w:left="425" w:leftChars="0"/>
        <w:rPr>
          <w:rFonts w:asciiTheme="majorEastAsia" w:hAnsiTheme="majorEastAsia" w:eastAsiaTheme="majorEastAsia"/>
          <w:szCs w:val="21"/>
        </w:rPr>
      </w:pPr>
      <w:r>
        <w:rPr>
          <w:rFonts w:hint="eastAsia" w:asciiTheme="majorEastAsia" w:hAnsiTheme="majorEastAsia" w:eastAsiaTheme="majorEastAsia"/>
          <w:szCs w:val="21"/>
        </w:rPr>
        <w:t>　樹木の特性に応じて切り詰め、中すかし、枯枝の除去などを行うこと。</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生垣手入れ</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徒長枝等を剪定し、枝の整理を行った後、一定の幅を定めて両面を刈込み、天端を揃えること。</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枝葉の疎な部分には、必要に応じて枝の誘引を行う。枝の結束にはシュロ縄を用いる。</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数年の期間をおいて刈込みを実施する場合は、一度に深く刈り込まないで、数回に分け、徐々に刈地原型に仕立てていく。</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刈込玉物</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枝の密生した箇所は、中透かしを行い、刈地原形を十分考慮しつつ、樹冠周縁の小枝を輪郭線を作りながら刈込む。</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裾枝の重要なものは、上枝を強く下枝を弱く刈込む。また、針葉樹については萌芽力を損なわないよう、樹種の特性に応じ十分注意し、芽つみ等を行う。</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大刈込みは各樹種の生育状態に応じ、刈地原形を十分考慮しつつ刈込む。また、植込みに入って作業する場合は、踏込み部分の枝条を損傷しないよう注意し、作業終了後は枝がえしを行う。</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花木手入れ</w:t>
      </w:r>
    </w:p>
    <w:p>
      <w:pPr>
        <w:pStyle w:val="20"/>
        <w:ind w:left="425" w:leftChars="0"/>
        <w:rPr>
          <w:rFonts w:asciiTheme="majorEastAsia" w:hAnsiTheme="majorEastAsia" w:eastAsiaTheme="majorEastAsia"/>
          <w:szCs w:val="21"/>
        </w:rPr>
      </w:pPr>
      <w:r>
        <w:rPr>
          <w:rFonts w:hint="eastAsia" w:asciiTheme="majorEastAsia" w:hAnsiTheme="majorEastAsia" w:eastAsiaTheme="majorEastAsia"/>
          <w:szCs w:val="21"/>
        </w:rPr>
        <w:t>　花木類は花芽の分化時期と着生位置に注意して、手入れを行うこと。</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病害虫防除</w:t>
      </w:r>
    </w:p>
    <w:p>
      <w:pPr>
        <w:pStyle w:val="20"/>
        <w:ind w:left="420" w:leftChars="0"/>
        <w:rPr>
          <w:rFonts w:asciiTheme="majorEastAsia" w:hAnsiTheme="majorEastAsia" w:eastAsiaTheme="majorEastAsia"/>
          <w:szCs w:val="21"/>
        </w:rPr>
      </w:pPr>
      <w:r>
        <w:rPr>
          <w:rFonts w:hint="eastAsia" w:asciiTheme="majorEastAsia" w:hAnsiTheme="majorEastAsia" w:eastAsiaTheme="majorEastAsia"/>
          <w:szCs w:val="21"/>
        </w:rPr>
        <w:t>　第４節病害虫防除に準じて行う。</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支柱の取り外し</w:t>
      </w:r>
    </w:p>
    <w:p>
      <w:pPr>
        <w:pStyle w:val="20"/>
        <w:ind w:left="420" w:leftChars="0"/>
        <w:rPr>
          <w:rFonts w:asciiTheme="majorEastAsia" w:hAnsiTheme="majorEastAsia" w:eastAsiaTheme="majorEastAsia"/>
          <w:szCs w:val="21"/>
        </w:rPr>
      </w:pPr>
      <w:r>
        <w:rPr>
          <w:rFonts w:hint="eastAsia" w:asciiTheme="majorEastAsia" w:hAnsiTheme="majorEastAsia" w:eastAsiaTheme="majorEastAsia"/>
          <w:szCs w:val="21"/>
        </w:rPr>
        <w:t>　在来の支柱及び添木の取りはずしが必要な場合は、樹木を損傷しないよう注意し、根元より完全に引き抜く。また、杉皮、シュロ縄、鉄線類、釘及び幹巻材も同様にきれいに取り除くこと。</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結束直し</w:t>
      </w:r>
    </w:p>
    <w:p>
      <w:pPr>
        <w:pStyle w:val="20"/>
        <w:ind w:left="420" w:leftChars="0"/>
        <w:rPr>
          <w:rFonts w:asciiTheme="majorEastAsia" w:hAnsiTheme="majorEastAsia" w:eastAsiaTheme="majorEastAsia"/>
          <w:szCs w:val="21"/>
        </w:rPr>
      </w:pPr>
      <w:r>
        <w:rPr>
          <w:rFonts w:hint="eastAsia" w:asciiTheme="majorEastAsia" w:hAnsiTheme="majorEastAsia" w:eastAsiaTheme="majorEastAsia"/>
          <w:szCs w:val="21"/>
        </w:rPr>
        <w:t>　在来の杉皮、シュロ縄、鉄線類は樹木を損傷しないように丁寧に取り除き、新しい材料をもって樹幹に緊密に固定するよう杉皮を巻き、シュロ縄で結束すること。</w:t>
      </w:r>
    </w:p>
    <w:p>
      <w:pPr>
        <w:pStyle w:val="20"/>
        <w:numPr>
          <w:ilvl w:val="0"/>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枯損木等処理</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枯損木等の伐採にあたっては、利用者、建物、車両、周辺樹木、その他の施設等に損傷を与えないよう、かつ安全確保に努めること。また、周囲の芝生等は必要に応じてシートを被せるなど保護対策を行うこと。</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切り株は地際より処理するなど、マンション居住者やその関係者もしくは利用者等が躓き転倒することのないよう配慮すること。</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伐採した樹木は枝払を行い、一定の長さに切断し、周囲はきれいに清掃すること。</w:t>
      </w:r>
    </w:p>
    <w:p>
      <w:pPr>
        <w:pStyle w:val="20"/>
        <w:numPr>
          <w:ilvl w:val="1"/>
          <w:numId w:val="16"/>
        </w:numPr>
        <w:ind w:leftChars="0"/>
        <w:rPr>
          <w:rFonts w:asciiTheme="majorEastAsia" w:hAnsiTheme="majorEastAsia" w:eastAsiaTheme="majorEastAsia"/>
          <w:szCs w:val="21"/>
        </w:rPr>
      </w:pPr>
      <w:r>
        <w:rPr>
          <w:rFonts w:hint="eastAsia" w:asciiTheme="majorEastAsia" w:hAnsiTheme="majorEastAsia" w:eastAsiaTheme="majorEastAsia"/>
          <w:szCs w:val="21"/>
        </w:rPr>
        <w:t>その他、枯損木等処理にあたっては、監督員と協議すること。</w:t>
      </w:r>
    </w:p>
    <w:p>
      <w:pPr>
        <w:pStyle w:val="20"/>
        <w:numPr>
          <w:ilvl w:val="0"/>
          <w:numId w:val="17"/>
        </w:numPr>
        <w:ind w:leftChars="0"/>
        <w:rPr>
          <w:rFonts w:asciiTheme="majorEastAsia" w:hAnsiTheme="majorEastAsia" w:eastAsiaTheme="majorEastAsia"/>
          <w:szCs w:val="21"/>
        </w:rPr>
      </w:pPr>
      <w:r>
        <w:rPr>
          <w:rFonts w:hint="eastAsia" w:asciiTheme="majorEastAsia" w:hAnsiTheme="majorEastAsia" w:eastAsiaTheme="majorEastAsia"/>
          <w:szCs w:val="21"/>
        </w:rPr>
        <w:t>施肥</w:t>
      </w:r>
    </w:p>
    <w:p>
      <w:pPr>
        <w:pStyle w:val="20"/>
        <w:ind w:left="425" w:leftChars="0"/>
        <w:rPr>
          <w:rFonts w:asciiTheme="majorEastAsia" w:hAnsiTheme="majorEastAsia" w:eastAsiaTheme="majorEastAsia"/>
          <w:szCs w:val="21"/>
        </w:rPr>
      </w:pPr>
      <w:r>
        <w:rPr>
          <w:rFonts w:hint="eastAsia" w:asciiTheme="majorEastAsia" w:hAnsiTheme="majorEastAsia" w:eastAsiaTheme="majorEastAsia"/>
          <w:szCs w:val="21"/>
        </w:rPr>
        <w:t>　樹木の育成促進及び病害虫に対する抵抗力を高めるため、普通化成肥料等を樹勢に考慮しながら散布する。</w:t>
      </w:r>
    </w:p>
    <w:p>
      <w:pPr>
        <w:pStyle w:val="20"/>
        <w:numPr>
          <w:ilvl w:val="0"/>
          <w:numId w:val="18"/>
        </w:numPr>
        <w:ind w:leftChars="0"/>
        <w:rPr>
          <w:rFonts w:asciiTheme="majorEastAsia" w:hAnsiTheme="majorEastAsia" w:eastAsiaTheme="majorEastAsia"/>
          <w:szCs w:val="21"/>
        </w:rPr>
      </w:pPr>
      <w:r>
        <w:rPr>
          <w:rFonts w:hint="eastAsia" w:asciiTheme="majorEastAsia" w:hAnsiTheme="majorEastAsia" w:eastAsiaTheme="majorEastAsia"/>
          <w:szCs w:val="21"/>
        </w:rPr>
        <w:t>倒木復旧</w:t>
      </w:r>
    </w:p>
    <w:p>
      <w:pPr>
        <w:ind w:left="425"/>
        <w:rPr>
          <w:rFonts w:asciiTheme="majorEastAsia" w:hAnsiTheme="majorEastAsia" w:eastAsiaTheme="majorEastAsia"/>
          <w:szCs w:val="21"/>
        </w:rPr>
      </w:pPr>
      <w:r>
        <w:rPr>
          <w:rFonts w:hint="eastAsia" w:asciiTheme="majorEastAsia" w:hAnsiTheme="majorEastAsia" w:eastAsiaTheme="majorEastAsia"/>
          <w:szCs w:val="21"/>
        </w:rPr>
        <w:t>倒木を発見した場合は監督員へ報告するとともに、管理組合に対し、必要に応じて復旧のための提案を行うなど、適切な対処に努めるものとする。</w:t>
      </w:r>
    </w:p>
    <w:p>
      <w:pPr>
        <w:widowControl/>
        <w:jc w:val="left"/>
        <w:rPr>
          <w:rFonts w:asciiTheme="majorEastAsia" w:hAnsiTheme="majorEastAsia" w:eastAsiaTheme="majorEastAsia"/>
          <w:szCs w:val="21"/>
        </w:rPr>
      </w:pPr>
      <w:r>
        <w:rPr>
          <w:rFonts w:asciiTheme="majorEastAsia" w:hAnsiTheme="majorEastAsia" w:eastAsiaTheme="majorEastAsia"/>
          <w:szCs w:val="21"/>
        </w:rPr>
        <w:br w:type="page"/>
      </w:r>
    </w:p>
    <w:p>
      <w:pPr>
        <w:rPr>
          <w:rFonts w:asciiTheme="majorEastAsia" w:hAnsiTheme="majorEastAsia" w:eastAsiaTheme="majorEastAsia"/>
          <w:sz w:val="36"/>
          <w:szCs w:val="36"/>
        </w:rPr>
      </w:pPr>
      <w:r>
        <w:rPr>
          <w:rFonts w:hint="eastAsia" w:asciiTheme="majorEastAsia" w:hAnsiTheme="majorEastAsia" w:eastAsiaTheme="majorEastAsia"/>
          <w:sz w:val="36"/>
          <w:szCs w:val="36"/>
        </w:rPr>
        <w:t>第７節　そ の 他</w:t>
      </w:r>
    </w:p>
    <w:p>
      <w:pPr>
        <w:pStyle w:val="20"/>
        <w:numPr>
          <w:ilvl w:val="0"/>
          <w:numId w:val="19"/>
        </w:numPr>
        <w:ind w:leftChars="0"/>
        <w:jc w:val="left"/>
        <w:rPr>
          <w:rFonts w:asciiTheme="majorEastAsia" w:hAnsiTheme="majorEastAsia" w:eastAsiaTheme="majorEastAsia"/>
        </w:rPr>
      </w:pPr>
      <w:r>
        <w:rPr>
          <w:rFonts w:hint="eastAsia" w:asciiTheme="majorEastAsia" w:hAnsiTheme="majorEastAsia" w:eastAsiaTheme="majorEastAsia"/>
        </w:rPr>
        <w:t>報告及び提案</w:t>
      </w:r>
    </w:p>
    <w:p>
      <w:pPr>
        <w:pStyle w:val="20"/>
        <w:numPr>
          <w:ilvl w:val="1"/>
          <w:numId w:val="19"/>
        </w:numPr>
        <w:ind w:leftChars="0"/>
        <w:jc w:val="left"/>
        <w:rPr>
          <w:rFonts w:asciiTheme="majorEastAsia" w:hAnsiTheme="majorEastAsia" w:eastAsiaTheme="majorEastAsia"/>
        </w:rPr>
      </w:pPr>
      <w:r>
        <w:rPr>
          <w:rFonts w:hint="eastAsia" w:asciiTheme="majorEastAsia" w:hAnsiTheme="majorEastAsia" w:eastAsiaTheme="majorEastAsia"/>
        </w:rPr>
        <w:t>年間植栽管理受注者は、敷地内緑地の良好な状態を保つため、目視による敷地内緑地外観のチェックを最低でも年１回以上行い、内容が明確にわかる写真（もしくは画像データ）及び図面等により、管理組合に対し報告及び改善提案等を行うこと。</w:t>
      </w:r>
    </w:p>
    <w:p>
      <w:pPr>
        <w:pStyle w:val="20"/>
        <w:numPr>
          <w:ilvl w:val="1"/>
          <w:numId w:val="19"/>
        </w:numPr>
        <w:ind w:leftChars="0"/>
        <w:jc w:val="left"/>
        <w:rPr>
          <w:rFonts w:asciiTheme="majorEastAsia" w:hAnsiTheme="majorEastAsia" w:eastAsiaTheme="majorEastAsia"/>
        </w:rPr>
      </w:pPr>
      <w:r>
        <w:rPr>
          <w:rFonts w:hint="eastAsia" w:asciiTheme="majorEastAsia" w:hAnsiTheme="majorEastAsia" w:eastAsiaTheme="majorEastAsia"/>
        </w:rPr>
        <w:t>病害虫の発生においては、拡大を防止するため、早期発見に努めること。</w:t>
      </w:r>
    </w:p>
    <w:p>
      <w:pPr>
        <w:pStyle w:val="20"/>
        <w:numPr>
          <w:ilvl w:val="1"/>
          <w:numId w:val="19"/>
        </w:numPr>
        <w:ind w:leftChars="0"/>
        <w:jc w:val="left"/>
        <w:rPr>
          <w:rFonts w:asciiTheme="majorEastAsia" w:hAnsiTheme="majorEastAsia" w:eastAsiaTheme="majorEastAsia"/>
        </w:rPr>
      </w:pPr>
      <w:r>
        <w:rPr>
          <w:rFonts w:hint="eastAsia" w:asciiTheme="majorEastAsia" w:hAnsiTheme="majorEastAsia" w:eastAsiaTheme="majorEastAsia"/>
        </w:rPr>
        <w:t>マンション居住者から通報・要望があった場合、遅滞なく異常の有無を確認し、異常が認められたときは監督員もしくは管理組合に対し報告すること。</w:t>
      </w:r>
    </w:p>
    <w:p>
      <w:pPr>
        <w:pStyle w:val="20"/>
        <w:numPr>
          <w:ilvl w:val="1"/>
          <w:numId w:val="19"/>
        </w:numPr>
        <w:ind w:leftChars="0"/>
        <w:jc w:val="left"/>
        <w:rPr>
          <w:rFonts w:asciiTheme="majorEastAsia" w:hAnsiTheme="majorEastAsia" w:eastAsiaTheme="majorEastAsia"/>
        </w:rPr>
      </w:pPr>
      <w:r>
        <w:rPr>
          <w:rFonts w:hint="eastAsia" w:asciiTheme="majorEastAsia" w:hAnsiTheme="majorEastAsia" w:eastAsiaTheme="majorEastAsia"/>
        </w:rPr>
        <w:t>特に剪定・伐採、その他全般の管理に関わる適切な対策について、受注者が積極的な提案を行うべき部分は以下の通りとする。</w:t>
      </w:r>
    </w:p>
    <w:p>
      <w:pPr>
        <w:pStyle w:val="20"/>
        <w:numPr>
          <w:ilvl w:val="2"/>
          <w:numId w:val="19"/>
        </w:numPr>
        <w:ind w:leftChars="0"/>
        <w:jc w:val="left"/>
        <w:rPr>
          <w:rFonts w:asciiTheme="majorEastAsia" w:hAnsiTheme="majorEastAsia" w:eastAsiaTheme="majorEastAsia"/>
        </w:rPr>
      </w:pPr>
      <w:r>
        <w:rPr>
          <w:rFonts w:hint="eastAsia" w:asciiTheme="majorEastAsia" w:hAnsiTheme="majorEastAsia" w:eastAsiaTheme="majorEastAsia"/>
        </w:rPr>
        <w:t>隣接する住戸との境界周辺の部分</w:t>
      </w:r>
    </w:p>
    <w:p>
      <w:pPr>
        <w:pStyle w:val="20"/>
        <w:numPr>
          <w:ilvl w:val="2"/>
          <w:numId w:val="19"/>
        </w:numPr>
        <w:ind w:leftChars="0"/>
        <w:jc w:val="left"/>
        <w:rPr>
          <w:rFonts w:asciiTheme="majorEastAsia" w:hAnsiTheme="majorEastAsia" w:eastAsiaTheme="majorEastAsia"/>
        </w:rPr>
      </w:pPr>
      <w:r>
        <w:rPr>
          <w:rFonts w:hint="eastAsia" w:asciiTheme="majorEastAsia" w:hAnsiTheme="majorEastAsia" w:eastAsiaTheme="majorEastAsia"/>
        </w:rPr>
        <w:t>公道に面する部分</w:t>
      </w:r>
    </w:p>
    <w:p>
      <w:pPr>
        <w:pStyle w:val="20"/>
        <w:numPr>
          <w:ilvl w:val="2"/>
          <w:numId w:val="19"/>
        </w:numPr>
        <w:ind w:leftChars="0"/>
        <w:jc w:val="left"/>
        <w:rPr>
          <w:rFonts w:asciiTheme="majorEastAsia" w:hAnsiTheme="majorEastAsia" w:eastAsiaTheme="majorEastAsia"/>
        </w:rPr>
      </w:pPr>
      <w:r>
        <w:rPr>
          <w:rFonts w:hint="eastAsia" w:asciiTheme="majorEastAsia" w:hAnsiTheme="majorEastAsia" w:eastAsiaTheme="majorEastAsia"/>
        </w:rPr>
        <w:t>その他管理組合が指示した部分</w:t>
      </w:r>
    </w:p>
    <w:p>
      <w:pPr>
        <w:pStyle w:val="20"/>
        <w:numPr>
          <w:ilvl w:val="0"/>
          <w:numId w:val="20"/>
        </w:numPr>
        <w:ind w:leftChars="0"/>
        <w:jc w:val="left"/>
        <w:rPr>
          <w:rFonts w:asciiTheme="majorEastAsia" w:hAnsiTheme="majorEastAsia" w:eastAsiaTheme="majorEastAsia"/>
        </w:rPr>
      </w:pPr>
      <w:r>
        <w:rPr>
          <w:rFonts w:hint="eastAsia" w:asciiTheme="majorEastAsia" w:hAnsiTheme="majorEastAsia" w:eastAsiaTheme="majorEastAsia"/>
        </w:rPr>
        <w:t>本仕様書の変更または廃止</w:t>
      </w:r>
    </w:p>
    <w:p>
      <w:pPr>
        <w:pStyle w:val="20"/>
        <w:ind w:left="425" w:leftChars="0"/>
        <w:jc w:val="left"/>
      </w:pPr>
      <w:r>
        <w:rPr>
          <w:rFonts w:hint="eastAsia" w:asciiTheme="majorEastAsia" w:hAnsiTheme="majorEastAsia" w:eastAsiaTheme="majorEastAsia"/>
        </w:rPr>
        <w:t>　本仕様書の内容を変更または廃止する場合は、管理組合理事会の決議によるものとする。</w:t>
      </w:r>
      <w:r>
        <w:br w:type="page"/>
      </w:r>
    </w:p>
    <w:p>
      <w:pPr>
        <w:pStyle w:val="20"/>
        <w:ind w:left="0" w:leftChars="0"/>
        <w:jc w:val="left"/>
        <w:rPr>
          <w:rFonts w:asciiTheme="majorEastAsia" w:hAnsiTheme="majorEastAsia" w:eastAsiaTheme="majorEastAsia"/>
          <w:szCs w:val="21"/>
        </w:rPr>
      </w:pPr>
      <w:r>
        <w:rPr>
          <w:rFonts w:hint="eastAsia" w:asciiTheme="majorEastAsia" w:hAnsiTheme="majorEastAsia" w:eastAsiaTheme="majorEastAsia"/>
          <w:szCs w:val="21"/>
        </w:rPr>
        <w:t>別表（一）</w:t>
      </w:r>
    </w:p>
    <w:p>
      <w:pPr>
        <w:pStyle w:val="20"/>
        <w:ind w:left="0" w:leftChars="0"/>
        <w:jc w:val="left"/>
        <w:rPr>
          <w:rFonts w:asciiTheme="majorEastAsia" w:hAnsiTheme="majorEastAsia" w:eastAsiaTheme="majorEastAsia"/>
          <w:szCs w:val="21"/>
        </w:rPr>
      </w:pPr>
    </w:p>
    <w:p>
      <w:pPr>
        <w:rPr>
          <w:rFonts w:asciiTheme="majorEastAsia" w:hAnsiTheme="majorEastAsia" w:eastAsiaTheme="majorEastAsia"/>
          <w:szCs w:val="21"/>
        </w:rPr>
      </w:pPr>
      <w:r>
        <w:rPr>
          <w:rFonts w:hint="eastAsia" w:asciiTheme="majorEastAsia" w:hAnsiTheme="majorEastAsia" w:eastAsiaTheme="majorEastAsia"/>
          <w:szCs w:val="21"/>
          <w:lang w:val="ja-JP"/>
        </w:rPr>
        <w:t>受注者提出書類</w:t>
      </w:r>
    </w:p>
    <w:tbl>
      <w:tblPr>
        <w:tblStyle w:val="35"/>
        <w:tblW w:w="9747"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
      <w:tblGrid>
        <w:gridCol w:w="426"/>
        <w:gridCol w:w="2923"/>
        <w:gridCol w:w="1543"/>
        <w:gridCol w:w="1078"/>
        <w:gridCol w:w="1260"/>
        <w:gridCol w:w="25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402" w:hRule="atLeast"/>
        </w:trPr>
        <w:tc>
          <w:tcPr>
            <w:tcW w:w="426" w:type="dxa"/>
            <w:shd w:val="clear" w:color="auto" w:fill="E7E6E6" w:themeFill="background2"/>
          </w:tcPr>
          <w:p>
            <w:pPr>
              <w:jc w:val="center"/>
              <w:rPr>
                <w:rFonts w:asciiTheme="majorEastAsia" w:hAnsiTheme="majorEastAsia" w:eastAsiaTheme="majorEastAsia"/>
                <w:b/>
                <w:bCs/>
                <w:color w:val="000000" w:themeColor="text1"/>
                <w:szCs w:val="21"/>
                <w14:textFill>
                  <w14:solidFill>
                    <w14:schemeClr w14:val="tx1"/>
                  </w14:solidFill>
                </w14:textFill>
              </w:rPr>
            </w:pPr>
          </w:p>
        </w:tc>
        <w:tc>
          <w:tcPr>
            <w:tcW w:w="2923" w:type="dxa"/>
            <w:shd w:val="clear" w:color="auto" w:fill="E7E6E6" w:themeFill="background2"/>
          </w:tcPr>
          <w:p>
            <w:pPr>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lang w:val="ja-JP"/>
                <w14:textFill>
                  <w14:solidFill>
                    <w14:schemeClr w14:val="tx1"/>
                  </w14:solidFill>
                </w14:textFill>
              </w:rPr>
              <w:t>提出書類</w:t>
            </w:r>
          </w:p>
        </w:tc>
        <w:tc>
          <w:tcPr>
            <w:tcW w:w="1543" w:type="dxa"/>
            <w:shd w:val="clear" w:color="auto" w:fill="E7E6E6" w:themeFill="background2"/>
          </w:tcPr>
          <w:p>
            <w:pPr>
              <w:jc w:val="center"/>
              <w:rPr>
                <w:rFonts w:asciiTheme="majorEastAsia" w:hAnsiTheme="majorEastAsia" w:eastAsiaTheme="majorEastAsia"/>
                <w:b/>
                <w:bCs/>
                <w:color w:val="000000" w:themeColor="text1"/>
                <w:szCs w:val="21"/>
                <w:lang w:val="ja-JP"/>
                <w14:textFill>
                  <w14:solidFill>
                    <w14:schemeClr w14:val="tx1"/>
                  </w14:solidFill>
                </w14:textFill>
              </w:rPr>
            </w:pPr>
            <w:r>
              <w:rPr>
                <w:rFonts w:hint="eastAsia" w:asciiTheme="majorEastAsia" w:hAnsiTheme="majorEastAsia" w:eastAsiaTheme="majorEastAsia"/>
                <w:b/>
                <w:bCs/>
                <w:color w:val="000000" w:themeColor="text1"/>
                <w:szCs w:val="21"/>
                <w:lang w:val="ja-JP"/>
                <w14:textFill>
                  <w14:solidFill>
                    <w14:schemeClr w14:val="tx1"/>
                  </w14:solidFill>
                </w14:textFill>
              </w:rPr>
              <w:t>期日</w:t>
            </w:r>
          </w:p>
        </w:tc>
        <w:tc>
          <w:tcPr>
            <w:tcW w:w="1078" w:type="dxa"/>
            <w:shd w:val="clear" w:color="auto" w:fill="E7E6E6" w:themeFill="background2"/>
          </w:tcPr>
          <w:p>
            <w:pPr>
              <w:jc w:val="center"/>
              <w:rPr>
                <w:rFonts w:asciiTheme="majorEastAsia" w:hAnsiTheme="majorEastAsia" w:eastAsiaTheme="majorEastAsia"/>
                <w:b/>
                <w:bCs/>
                <w:color w:val="000000" w:themeColor="text1"/>
                <w:szCs w:val="21"/>
                <w:lang w:val="ja-JP"/>
                <w14:textFill>
                  <w14:solidFill>
                    <w14:schemeClr w14:val="tx1"/>
                  </w14:solidFill>
                </w14:textFill>
              </w:rPr>
            </w:pPr>
            <w:r>
              <w:rPr>
                <w:rFonts w:hint="eastAsia" w:asciiTheme="majorEastAsia" w:hAnsiTheme="majorEastAsia" w:eastAsiaTheme="majorEastAsia"/>
                <w:b/>
                <w:bCs/>
                <w:color w:val="000000" w:themeColor="text1"/>
                <w:szCs w:val="21"/>
                <w:lang w:val="ja-JP"/>
                <w14:textFill>
                  <w14:solidFill>
                    <w14:schemeClr w14:val="tx1"/>
                  </w14:solidFill>
                </w14:textFill>
              </w:rPr>
              <w:t>部数</w:t>
            </w:r>
          </w:p>
        </w:tc>
        <w:tc>
          <w:tcPr>
            <w:tcW w:w="1260" w:type="dxa"/>
            <w:shd w:val="clear" w:color="auto" w:fill="E7E6E6" w:themeFill="background2"/>
          </w:tcPr>
          <w:p>
            <w:pPr>
              <w:jc w:val="center"/>
              <w:rPr>
                <w:rFonts w:asciiTheme="majorEastAsia" w:hAnsiTheme="majorEastAsia" w:eastAsiaTheme="majorEastAsia"/>
                <w:b/>
                <w:bCs/>
                <w:color w:val="000000" w:themeColor="text1"/>
                <w:szCs w:val="21"/>
                <w:lang w:val="ja-JP"/>
                <w14:textFill>
                  <w14:solidFill>
                    <w14:schemeClr w14:val="tx1"/>
                  </w14:solidFill>
                </w14:textFill>
              </w:rPr>
            </w:pPr>
            <w:r>
              <w:rPr>
                <w:rFonts w:hint="eastAsia" w:asciiTheme="majorEastAsia" w:hAnsiTheme="majorEastAsia" w:eastAsiaTheme="majorEastAsia"/>
                <w:b/>
                <w:bCs/>
                <w:color w:val="000000" w:themeColor="text1"/>
                <w:szCs w:val="21"/>
                <w:lang w:val="ja-JP"/>
                <w14:textFill>
                  <w14:solidFill>
                    <w14:schemeClr w14:val="tx1"/>
                  </w14:solidFill>
                </w14:textFill>
              </w:rPr>
              <w:t>規格</w:t>
            </w:r>
          </w:p>
        </w:tc>
        <w:tc>
          <w:tcPr>
            <w:tcW w:w="2517" w:type="dxa"/>
            <w:shd w:val="clear" w:color="auto" w:fill="E7E6E6" w:themeFill="background2"/>
          </w:tcPr>
          <w:p>
            <w:pPr>
              <w:jc w:val="center"/>
              <w:rPr>
                <w:rFonts w:asciiTheme="majorEastAsia" w:hAnsiTheme="majorEastAsia" w:eastAsiaTheme="majorEastAsia"/>
                <w:b/>
                <w:bCs/>
                <w:color w:val="000000" w:themeColor="text1"/>
                <w:szCs w:val="21"/>
                <w:lang w:val="ja-JP"/>
                <w14:textFill>
                  <w14:solidFill>
                    <w14:schemeClr w14:val="tx1"/>
                  </w14:solidFill>
                </w14:textFill>
              </w:rPr>
            </w:pPr>
            <w:r>
              <w:rPr>
                <w:rFonts w:hint="eastAsia" w:asciiTheme="majorEastAsia" w:hAnsiTheme="majorEastAsia" w:eastAsiaTheme="majorEastAsia"/>
                <w:b/>
                <w:bCs/>
                <w:color w:val="000000" w:themeColor="text1"/>
                <w:szCs w:val="21"/>
                <w:lang w:val="ja-JP"/>
                <w14:textFill>
                  <w14:solidFill>
                    <w14:schemeClr w14:val="tx1"/>
                  </w14:solidFill>
                </w14:textFill>
              </w:rPr>
              <w:t>備考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rPr>
            </w:pPr>
            <w:r>
              <w:rPr>
                <w:rFonts w:hint="eastAsia" w:asciiTheme="majorEastAsia" w:hAnsiTheme="majorEastAsia" w:eastAsiaTheme="majorEastAsia"/>
                <w:szCs w:val="21"/>
              </w:rPr>
              <w:t>１</w:t>
            </w:r>
          </w:p>
        </w:tc>
        <w:tc>
          <w:tcPr>
            <w:tcW w:w="2923" w:type="dxa"/>
          </w:tcPr>
          <w:p>
            <w:pPr>
              <w:rPr>
                <w:rFonts w:asciiTheme="majorEastAsia" w:hAnsiTheme="majorEastAsia" w:eastAsiaTheme="majorEastAsia"/>
                <w:szCs w:val="21"/>
              </w:rPr>
            </w:pPr>
            <w:r>
              <w:rPr>
                <w:rFonts w:hint="eastAsia" w:asciiTheme="majorEastAsia" w:hAnsiTheme="majorEastAsia" w:eastAsiaTheme="majorEastAsia"/>
                <w:szCs w:val="21"/>
              </w:rPr>
              <w:t>作業完了報告</w:t>
            </w:r>
            <w:r>
              <w:rPr>
                <w:rFonts w:hint="eastAsia" w:asciiTheme="majorEastAsia" w:hAnsiTheme="majorEastAsia" w:eastAsiaTheme="majorEastAsia"/>
                <w:szCs w:val="21"/>
                <w:shd w:val="clear" w:color="auto" w:fill="FFFFFF" w:themeFill="background1"/>
              </w:rPr>
              <w:t>書</w:t>
            </w:r>
          </w:p>
        </w:tc>
        <w:tc>
          <w:tcPr>
            <w:tcW w:w="1543" w:type="dxa"/>
          </w:tcPr>
          <w:p>
            <w:pPr>
              <w:rPr>
                <w:rFonts w:asciiTheme="majorEastAsia" w:hAnsiTheme="majorEastAsia" w:eastAsiaTheme="majorEastAsia"/>
                <w:szCs w:val="21"/>
              </w:rPr>
            </w:pPr>
            <w:r>
              <w:rPr>
                <w:rFonts w:hint="eastAsia" w:asciiTheme="majorEastAsia" w:hAnsiTheme="majorEastAsia" w:eastAsiaTheme="majorEastAsia"/>
                <w:szCs w:val="21"/>
              </w:rPr>
              <w:t>任意</w:t>
            </w:r>
          </w:p>
        </w:tc>
        <w:tc>
          <w:tcPr>
            <w:tcW w:w="1078"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１部</w:t>
            </w:r>
            <w:r>
              <w:rPr>
                <w:rFonts w:hint="eastAsia" w:asciiTheme="majorEastAsia" w:hAnsiTheme="majorEastAsia" w:eastAsiaTheme="majorEastAsia"/>
                <w:color w:val="000000" w:themeColor="text1"/>
                <w:szCs w:val="21"/>
                <w:lang w:val="ja-JP"/>
                <w14:textFill>
                  <w14:solidFill>
                    <w14:schemeClr w14:val="tx1"/>
                  </w14:solidFill>
                </w14:textFill>
              </w:rPr>
              <w:t>以上</w:t>
            </w:r>
          </w:p>
        </w:tc>
        <w:tc>
          <w:tcPr>
            <w:tcW w:w="1260"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任意</w:t>
            </w: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２</w:t>
            </w:r>
          </w:p>
        </w:tc>
        <w:tc>
          <w:tcPr>
            <w:tcW w:w="2923"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工事写真</w:t>
            </w:r>
          </w:p>
        </w:tc>
        <w:tc>
          <w:tcPr>
            <w:tcW w:w="1543"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任意</w:t>
            </w:r>
          </w:p>
        </w:tc>
        <w:tc>
          <w:tcPr>
            <w:tcW w:w="1078"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１部</w:t>
            </w:r>
          </w:p>
        </w:tc>
        <w:tc>
          <w:tcPr>
            <w:tcW w:w="1260" w:type="dxa"/>
          </w:tcPr>
          <w:p>
            <w:pPr>
              <w:rPr>
                <w:rFonts w:asciiTheme="majorEastAsia" w:hAnsiTheme="majorEastAsia" w:eastAsiaTheme="majorEastAsia"/>
                <w:szCs w:val="21"/>
                <w:lang w:val="ja-JP"/>
              </w:rPr>
            </w:pPr>
            <w:r>
              <w:rPr>
                <w:rFonts w:hint="eastAsia" w:asciiTheme="majorEastAsia" w:hAnsiTheme="majorEastAsia" w:eastAsiaTheme="majorEastAsia"/>
                <w:szCs w:val="21"/>
                <w:lang w:val="ja-JP"/>
              </w:rPr>
              <w:t>任意</w:t>
            </w: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dotted" w:color="000000" w:themeColor="text1" w:sz="4" w:space="0"/>
            <w:insideV w:val="dotted" w:color="000000" w:themeColor="text1" w:sz="4" w:space="0"/>
          </w:tblBorders>
          <w:tblLayout w:type="fixed"/>
          <w:tblCellMar>
            <w:top w:w="0" w:type="dxa"/>
            <w:left w:w="108" w:type="dxa"/>
            <w:bottom w:w="0" w:type="dxa"/>
            <w:right w:w="108" w:type="dxa"/>
          </w:tblCellMar>
        </w:tblPrEx>
        <w:trPr>
          <w:trHeight w:val="801" w:hRule="atLeast"/>
        </w:trPr>
        <w:tc>
          <w:tcPr>
            <w:tcW w:w="426" w:type="dxa"/>
          </w:tcPr>
          <w:p>
            <w:pPr>
              <w:rPr>
                <w:rFonts w:asciiTheme="majorEastAsia" w:hAnsiTheme="majorEastAsia" w:eastAsiaTheme="majorEastAsia"/>
                <w:szCs w:val="21"/>
                <w:lang w:val="ja-JP"/>
              </w:rPr>
            </w:pPr>
          </w:p>
        </w:tc>
        <w:tc>
          <w:tcPr>
            <w:tcW w:w="2923" w:type="dxa"/>
          </w:tcPr>
          <w:p>
            <w:pPr>
              <w:rPr>
                <w:rFonts w:asciiTheme="majorEastAsia" w:hAnsiTheme="majorEastAsia" w:eastAsiaTheme="majorEastAsia"/>
                <w:szCs w:val="21"/>
                <w:lang w:val="ja-JP"/>
              </w:rPr>
            </w:pPr>
          </w:p>
        </w:tc>
        <w:tc>
          <w:tcPr>
            <w:tcW w:w="1543" w:type="dxa"/>
          </w:tcPr>
          <w:p>
            <w:pPr>
              <w:rPr>
                <w:rFonts w:asciiTheme="majorEastAsia" w:hAnsiTheme="majorEastAsia" w:eastAsiaTheme="majorEastAsia"/>
                <w:szCs w:val="21"/>
                <w:lang w:val="ja-JP"/>
              </w:rPr>
            </w:pPr>
          </w:p>
        </w:tc>
        <w:tc>
          <w:tcPr>
            <w:tcW w:w="1078" w:type="dxa"/>
          </w:tcPr>
          <w:p>
            <w:pPr>
              <w:rPr>
                <w:rFonts w:asciiTheme="majorEastAsia" w:hAnsiTheme="majorEastAsia" w:eastAsiaTheme="majorEastAsia"/>
                <w:szCs w:val="21"/>
                <w:lang w:val="ja-JP"/>
              </w:rPr>
            </w:pPr>
          </w:p>
        </w:tc>
        <w:tc>
          <w:tcPr>
            <w:tcW w:w="1260" w:type="dxa"/>
          </w:tcPr>
          <w:p>
            <w:pPr>
              <w:rPr>
                <w:rFonts w:asciiTheme="majorEastAsia" w:hAnsiTheme="majorEastAsia" w:eastAsiaTheme="majorEastAsia"/>
                <w:szCs w:val="21"/>
                <w:lang w:val="ja-JP"/>
              </w:rPr>
            </w:pPr>
          </w:p>
        </w:tc>
        <w:tc>
          <w:tcPr>
            <w:tcW w:w="2517" w:type="dxa"/>
          </w:tcPr>
          <w:p>
            <w:pPr>
              <w:rPr>
                <w:rFonts w:asciiTheme="majorEastAsia" w:hAnsiTheme="majorEastAsia" w:eastAsiaTheme="majorEastAsia"/>
                <w:szCs w:val="21"/>
                <w:lang w:val="ja-JP"/>
              </w:rPr>
            </w:pPr>
          </w:p>
        </w:tc>
      </w:tr>
    </w:tbl>
    <w:p>
      <w:pPr>
        <w:widowControl/>
        <w:jc w:val="left"/>
        <w:rPr>
          <w:rFonts w:asciiTheme="majorEastAsia" w:hAnsiTheme="majorEastAsia" w:eastAsiaTheme="majorEastAsia"/>
          <w:szCs w:val="21"/>
        </w:rPr>
      </w:pPr>
      <w:r>
        <w:rPr>
          <w:rFonts w:asciiTheme="majorEastAsia" w:hAnsiTheme="majorEastAsia" w:eastAsiaTheme="majorEastAsia"/>
          <w:szCs w:val="21"/>
        </w:rPr>
        <w:br w:type="page"/>
      </w:r>
    </w:p>
    <w:p>
      <w:pPr>
        <w:pStyle w:val="20"/>
        <w:ind w:left="0" w:leftChars="0"/>
        <w:jc w:val="left"/>
        <w:rPr>
          <w:rFonts w:asciiTheme="majorEastAsia" w:hAnsiTheme="majorEastAsia" w:eastAsiaTheme="majorEastAsia"/>
        </w:rPr>
      </w:pPr>
      <w:r>
        <w:rPr>
          <w:rFonts w:hint="eastAsia" w:asciiTheme="majorEastAsia" w:hAnsiTheme="majorEastAsia" w:eastAsiaTheme="majorEastAsia"/>
        </w:rPr>
        <w:t>別表（二）</w:t>
      </w:r>
    </w:p>
    <w:p>
      <w:pPr>
        <w:pStyle w:val="20"/>
        <w:ind w:left="0" w:leftChars="0"/>
        <w:jc w:val="left"/>
        <w:rPr>
          <w:rFonts w:asciiTheme="majorEastAsia" w:hAnsiTheme="majorEastAsia" w:eastAsiaTheme="majorEastAsia"/>
        </w:rPr>
      </w:pPr>
    </w:p>
    <w:p>
      <w:pPr>
        <w:pStyle w:val="20"/>
        <w:pBdr>
          <w:top w:val="single" w:color="auto" w:sz="4" w:space="1"/>
          <w:left w:val="single" w:color="auto" w:sz="4" w:space="4"/>
          <w:bottom w:val="single" w:color="auto" w:sz="4" w:space="1"/>
          <w:right w:val="single" w:color="auto" w:sz="4" w:space="4"/>
        </w:pBdr>
        <w:ind w:left="0" w:leftChars="0"/>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「バーク・リッジ剪定法」</w:t>
      </w:r>
    </w:p>
    <w:p>
      <w:pPr>
        <w:pStyle w:val="20"/>
        <w:ind w:left="0" w:leftChars="0"/>
        <w:jc w:val="left"/>
        <w:rPr>
          <w:rFonts w:asciiTheme="majorEastAsia" w:hAnsiTheme="majorEastAsia" w:eastAsiaTheme="majorEastAsia"/>
        </w:rPr>
      </w:pPr>
    </w:p>
    <w:p>
      <w:pPr>
        <w:pStyle w:val="20"/>
        <w:numPr>
          <w:ilvl w:val="0"/>
          <w:numId w:val="21"/>
        </w:numPr>
        <w:ind w:leftChars="0"/>
        <w:jc w:val="left"/>
        <w:rPr>
          <w:rFonts w:asciiTheme="majorEastAsia" w:hAnsiTheme="majorEastAsia" w:eastAsiaTheme="majorEastAsia"/>
        </w:rPr>
      </w:pPr>
      <w:r>
        <w:rPr>
          <w:rFonts w:hint="eastAsia" w:asciiTheme="majorEastAsia" w:hAnsiTheme="majorEastAsia" w:eastAsiaTheme="majorEastAsia"/>
        </w:rPr>
        <w:t>切る枝の下側に約１/３程度切れ目を入れる。</w:t>
      </w:r>
    </w:p>
    <w:p>
      <w:pPr>
        <w:pStyle w:val="20"/>
        <w:numPr>
          <w:ilvl w:val="0"/>
          <w:numId w:val="21"/>
        </w:numPr>
        <w:ind w:leftChars="0"/>
        <w:jc w:val="left"/>
        <w:rPr>
          <w:rFonts w:asciiTheme="majorEastAsia" w:hAnsiTheme="majorEastAsia" w:eastAsiaTheme="majorEastAsia"/>
        </w:rPr>
      </w:pPr>
      <w:r>
        <w:rPr>
          <w:rFonts w:hint="eastAsia" w:asciiTheme="majorEastAsia" w:hAnsiTheme="majorEastAsia" w:eastAsiaTheme="majorEastAsia"/>
        </w:rPr>
        <w:t>上から枝を切り落とす。</w:t>
      </w:r>
    </w:p>
    <w:p>
      <w:pPr>
        <w:pStyle w:val="20"/>
        <w:numPr>
          <w:ilvl w:val="0"/>
          <w:numId w:val="21"/>
        </w:numPr>
        <w:ind w:leftChars="0"/>
        <w:jc w:val="left"/>
        <w:rPr>
          <w:rFonts w:asciiTheme="majorEastAsia" w:hAnsiTheme="majorEastAsia" w:eastAsiaTheme="majorEastAsia"/>
        </w:rPr>
      </w:pPr>
      <w:r>
        <w:rPr>
          <w:rFonts w:hint="eastAsia" w:asciiTheme="majorEastAsia" w:hAnsiTheme="majorEastAsia" w:eastAsiaTheme="majorEastAsia"/>
        </w:rPr>
        <w:t>バークリッジ（バーク「皮」リッジ「山脈」）と枝の直角線の中間角度で切る。</w:t>
      </w:r>
    </w:p>
    <w:p>
      <w:pPr>
        <w:pStyle w:val="20"/>
        <w:numPr>
          <w:ilvl w:val="0"/>
          <w:numId w:val="21"/>
        </w:numPr>
        <w:ind w:leftChars="0"/>
        <w:jc w:val="left"/>
        <w:rPr>
          <w:rFonts w:asciiTheme="majorEastAsia" w:hAnsiTheme="majorEastAsia" w:eastAsiaTheme="majorEastAsia"/>
        </w:rPr>
      </w:pPr>
      <w:r>
        <w:rPr>
          <w:rFonts w:hint="eastAsia" w:asciiTheme="majorEastAsia" w:hAnsiTheme="majorEastAsia" w:eastAsiaTheme="majorEastAsia"/>
        </w:rPr>
        <w:t>切り口に保護剤を塗る。</w:t>
      </w:r>
    </w:p>
    <w:p>
      <w:pPr>
        <w:pStyle w:val="20"/>
        <w:ind w:left="420" w:leftChars="0"/>
        <w:jc w:val="left"/>
        <w:rPr>
          <w:rFonts w:asciiTheme="majorEastAsia" w:hAnsiTheme="majorEastAsia" w:eastAsiaTheme="majorEastAsia"/>
        </w:rPr>
      </w:pPr>
    </w:p>
    <w:p>
      <w:pPr>
        <w:pStyle w:val="20"/>
        <w:ind w:left="0" w:leftChars="0"/>
        <w:jc w:val="left"/>
        <w:rPr>
          <w:rFonts w:asciiTheme="majorEastAsia" w:hAnsiTheme="majorEastAsia" w:eastAsiaTheme="majorEastAsia"/>
        </w:rPr>
      </w:pPr>
      <w:r>
        <w:rPr>
          <w:rFonts w:hint="eastAsia" w:asciiTheme="majorEastAsia" w:hAnsiTheme="majorEastAsia" w:eastAsiaTheme="majorEastAsia"/>
        </w:rPr>
        <w:t>※上記１～４に基づき、主枝もしくは主枝に準ずる枝を、下図のようにＡ点からＢ点までのラインで切除する。</w:t>
      </w:r>
    </w:p>
    <w:p>
      <w:pPr>
        <w:pStyle w:val="20"/>
        <w:ind w:left="0" w:leftChars="0"/>
        <w:jc w:val="left"/>
        <w:rPr>
          <w:rFonts w:asciiTheme="majorEastAsia" w:hAnsiTheme="majorEastAsia" w:eastAsiaTheme="majorEastAsia"/>
        </w:rPr>
      </w:pPr>
      <w:r>
        <w:rPr>
          <w:rFonts w:asciiTheme="majorEastAsia" w:hAnsiTheme="majorEastAsia" w:eastAsiaTheme="majorEastAsia"/>
        </w:rPr>
        <w:drawing>
          <wp:inline distT="0" distB="0" distL="0" distR="0">
            <wp:extent cx="4019550" cy="3928745"/>
            <wp:effectExtent l="19050" t="19050" r="19050" b="14605"/>
            <wp:docPr id="2" name="図 2" descr="C:\Users\yamada taro\AppData\Local\Microsoft\Windows\INetCache\Content.Word\sakura-kanri-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yamada taro\AppData\Local\Microsoft\Windows\INetCache\Content.Word\sakura-kanri-0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36021" cy="3944885"/>
                    </a:xfrm>
                    <a:prstGeom prst="rect">
                      <a:avLst/>
                    </a:prstGeom>
                    <a:noFill/>
                    <a:ln>
                      <a:solidFill>
                        <a:schemeClr val="tx1"/>
                      </a:solidFill>
                    </a:ln>
                  </pic:spPr>
                </pic:pic>
              </a:graphicData>
            </a:graphic>
          </wp:inline>
        </w:drawing>
      </w:r>
    </w:p>
    <w:p>
      <w:pPr>
        <w:pStyle w:val="20"/>
        <w:ind w:left="0" w:leftChars="0"/>
        <w:jc w:val="left"/>
        <w:rPr>
          <w:rFonts w:asciiTheme="majorEastAsia" w:hAnsiTheme="majorEastAsia" w:eastAsiaTheme="majorEastAsia"/>
        </w:rPr>
      </w:pPr>
    </w:p>
    <w:sectPr>
      <w:footerReference r:id="rId4" w:type="default"/>
      <w:pgSz w:w="11906" w:h="16838"/>
      <w:pgMar w:top="1440" w:right="1080" w:bottom="1440" w:left="1080" w:header="851" w:footer="992" w:gutter="0"/>
      <w:pgNumType w:start="1"/>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2092345"/>
    </w:sdtPr>
    <w:sdtContent>
      <w:p>
        <w:pPr>
          <w:pStyle w:val="11"/>
          <w:jc w:val="center"/>
        </w:pPr>
        <w:r>
          <w:fldChar w:fldCharType="begin"/>
        </w:r>
        <w:r>
          <w:instrText xml:space="preserve">PAGE   \* MERGEFORMAT</w:instrText>
        </w:r>
        <w:r>
          <w:fldChar w:fldCharType="separate"/>
        </w:r>
        <w:r>
          <w:rPr>
            <w:lang w:val="ja-JP"/>
          </w:rPr>
          <w:t>10</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D9F"/>
    <w:multiLevelType w:val="multilevel"/>
    <w:tmpl w:val="008C1D9F"/>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lowerRoman"/>
      <w:lvlText w:val="%3."/>
      <w:lvlJc w:val="righ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1C33185"/>
    <w:multiLevelType w:val="multilevel"/>
    <w:tmpl w:val="01C33185"/>
    <w:lvl w:ilvl="0" w:tentative="0">
      <w:start w:val="1"/>
      <w:numFmt w:val="decimalFullWidth"/>
      <w:pStyle w:val="2"/>
      <w:lvlText w:val="第%1章"/>
      <w:lvlJc w:val="left"/>
      <w:pPr>
        <w:ind w:left="425" w:hanging="425"/>
      </w:pPr>
    </w:lvl>
    <w:lvl w:ilvl="1" w:tentative="0">
      <w:start w:val="1"/>
      <w:numFmt w:val="decimalFullWidth"/>
      <w:pStyle w:val="3"/>
      <w:lvlText w:val="第%2節"/>
      <w:lvlJc w:val="left"/>
      <w:pPr>
        <w:ind w:left="851" w:hanging="426"/>
      </w:pPr>
    </w:lvl>
    <w:lvl w:ilvl="2" w:tentative="0">
      <w:start w:val="1"/>
      <w:numFmt w:val="decimalFullWidth"/>
      <w:pStyle w:val="4"/>
      <w:lvlText w:val="第%3項"/>
      <w:lvlJc w:val="left"/>
      <w:pPr>
        <w:ind w:left="1276" w:hanging="425"/>
      </w:pPr>
    </w:lvl>
    <w:lvl w:ilvl="3" w:tentative="0">
      <w:start w:val="1"/>
      <w:numFmt w:val="none"/>
      <w:pStyle w:val="5"/>
      <w:suff w:val="nothing"/>
      <w:lvlText w:val=""/>
      <w:lvlJc w:val="left"/>
      <w:pPr>
        <w:ind w:left="1701" w:hanging="425"/>
      </w:pPr>
    </w:lvl>
    <w:lvl w:ilvl="4" w:tentative="0">
      <w:start w:val="1"/>
      <w:numFmt w:val="none"/>
      <w:pStyle w:val="6"/>
      <w:suff w:val="nothing"/>
      <w:lvlText w:val=""/>
      <w:lvlJc w:val="left"/>
      <w:pPr>
        <w:ind w:left="2126" w:hanging="425"/>
      </w:pPr>
    </w:lvl>
    <w:lvl w:ilvl="5" w:tentative="0">
      <w:start w:val="1"/>
      <w:numFmt w:val="none"/>
      <w:pStyle w:val="7"/>
      <w:suff w:val="nothing"/>
      <w:lvlText w:val=""/>
      <w:lvlJc w:val="left"/>
      <w:pPr>
        <w:ind w:left="2551" w:hanging="425"/>
      </w:pPr>
    </w:lvl>
    <w:lvl w:ilvl="6" w:tentative="0">
      <w:start w:val="1"/>
      <w:numFmt w:val="none"/>
      <w:pStyle w:val="8"/>
      <w:suff w:val="nothing"/>
      <w:lvlText w:val=""/>
      <w:lvlJc w:val="left"/>
      <w:pPr>
        <w:ind w:left="2976" w:hanging="425"/>
      </w:pPr>
    </w:lvl>
    <w:lvl w:ilvl="7" w:tentative="0">
      <w:start w:val="1"/>
      <w:numFmt w:val="none"/>
      <w:pStyle w:val="9"/>
      <w:suff w:val="nothing"/>
      <w:lvlText w:val=""/>
      <w:lvlJc w:val="left"/>
      <w:pPr>
        <w:ind w:left="3402" w:hanging="426"/>
      </w:pPr>
    </w:lvl>
    <w:lvl w:ilvl="8" w:tentative="0">
      <w:start w:val="1"/>
      <w:numFmt w:val="none"/>
      <w:pStyle w:val="10"/>
      <w:suff w:val="nothing"/>
      <w:lvlText w:val=""/>
      <w:lvlJc w:val="left"/>
      <w:pPr>
        <w:ind w:left="3827" w:hanging="425"/>
      </w:pPr>
    </w:lvl>
  </w:abstractNum>
  <w:abstractNum w:abstractNumId="2">
    <w:nsid w:val="0F060FD9"/>
    <w:multiLevelType w:val="multilevel"/>
    <w:tmpl w:val="0F060FD9"/>
    <w:lvl w:ilvl="0" w:tentative="0">
      <w:start w:val="4"/>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68E04DF"/>
    <w:multiLevelType w:val="multilevel"/>
    <w:tmpl w:val="168E04DF"/>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74A1C7C"/>
    <w:multiLevelType w:val="multilevel"/>
    <w:tmpl w:val="174A1C7C"/>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BDF7ACB"/>
    <w:multiLevelType w:val="multilevel"/>
    <w:tmpl w:val="1BDF7ACB"/>
    <w:lvl w:ilvl="0" w:tentative="0">
      <w:start w:val="2"/>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lowerRoman"/>
      <w:lvlText w:val="%3."/>
      <w:lvlJc w:val="righ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04958A5"/>
    <w:multiLevelType w:val="multilevel"/>
    <w:tmpl w:val="204958A5"/>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2973BD6"/>
    <w:multiLevelType w:val="multilevel"/>
    <w:tmpl w:val="22973BD6"/>
    <w:lvl w:ilvl="0" w:tentative="0">
      <w:start w:val="1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8CB3B53"/>
    <w:multiLevelType w:val="multilevel"/>
    <w:tmpl w:val="28CB3B53"/>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2EEA0107"/>
    <w:multiLevelType w:val="multilevel"/>
    <w:tmpl w:val="2EEA0107"/>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4223CCF"/>
    <w:multiLevelType w:val="multilevel"/>
    <w:tmpl w:val="34223CCF"/>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3AE22809"/>
    <w:multiLevelType w:val="multilevel"/>
    <w:tmpl w:val="3AE22809"/>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2">
    <w:nsid w:val="40D02569"/>
    <w:multiLevelType w:val="multilevel"/>
    <w:tmpl w:val="40D02569"/>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lowerRoman"/>
      <w:lvlText w:val="%3."/>
      <w:lvlJc w:val="righ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9FE48F0"/>
    <w:multiLevelType w:val="multilevel"/>
    <w:tmpl w:val="49FE48F0"/>
    <w:lvl w:ilvl="0" w:tentative="0">
      <w:start w:val="10"/>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4AA569C9"/>
    <w:multiLevelType w:val="multilevel"/>
    <w:tmpl w:val="4AA569C9"/>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5AE25C44"/>
    <w:multiLevelType w:val="multilevel"/>
    <w:tmpl w:val="5AE25C44"/>
    <w:lvl w:ilvl="0" w:tentative="0">
      <w:start w:val="1"/>
      <w:numFmt w:val="decimal"/>
      <w:lvlText w:val="%1."/>
      <w:lvlJc w:val="left"/>
      <w:pPr>
        <w:ind w:left="425" w:hanging="425"/>
      </w:pPr>
      <w:rPr>
        <w:rFonts w:hint="eastAsia"/>
      </w:rPr>
    </w:lvl>
    <w:lvl w:ilvl="1" w:tentative="0">
      <w:start w:val="4"/>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2255E9F"/>
    <w:multiLevelType w:val="multilevel"/>
    <w:tmpl w:val="62255E9F"/>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67981057"/>
    <w:multiLevelType w:val="multilevel"/>
    <w:tmpl w:val="67981057"/>
    <w:lvl w:ilvl="0" w:tentative="0">
      <w:start w:val="6"/>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8">
    <w:nsid w:val="69746822"/>
    <w:multiLevelType w:val="multilevel"/>
    <w:tmpl w:val="69746822"/>
    <w:lvl w:ilvl="0" w:tentative="0">
      <w:start w:val="1"/>
      <w:numFmt w:val="decimal"/>
      <w:lvlText w:val="%1."/>
      <w:lvlJc w:val="left"/>
      <w:pPr>
        <w:ind w:left="425" w:hanging="425"/>
      </w:pPr>
    </w:lvl>
    <w:lvl w:ilvl="1" w:tentative="0">
      <w:start w:val="1"/>
      <w:numFmt w:val="decimalEnclosedCircle"/>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9">
    <w:nsid w:val="6F752204"/>
    <w:multiLevelType w:val="multilevel"/>
    <w:tmpl w:val="6F752204"/>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7D36671B"/>
    <w:multiLevelType w:val="multilevel"/>
    <w:tmpl w:val="7D36671B"/>
    <w:lvl w:ilvl="0" w:tentative="0">
      <w:start w:val="1"/>
      <w:numFmt w:val="decimal"/>
      <w:lvlText w:val="%1."/>
      <w:lvlJc w:val="left"/>
      <w:pPr>
        <w:ind w:left="425" w:hanging="425"/>
      </w:pPr>
      <w:rPr>
        <w:rFonts w:hint="eastAsia"/>
      </w:rPr>
    </w:lvl>
    <w:lvl w:ilvl="1" w:tentative="0">
      <w:start w:val="1"/>
      <w:numFmt w:val="decimalEnclosedCircle"/>
      <w:lvlText w:val="%2"/>
      <w:lvlJc w:val="left"/>
      <w:pPr>
        <w:ind w:left="992" w:hanging="567"/>
      </w:pPr>
      <w:rPr>
        <w:rFonts w:hint="eastAsia"/>
        <w:strike w:val="0"/>
        <w:color w:val="000000" w:themeColor="text1"/>
        <w14:textFill>
          <w14:solidFill>
            <w14:schemeClr w14:val="tx1"/>
          </w14:solidFill>
        </w14:textFill>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18"/>
  </w:num>
  <w:num w:numId="3">
    <w:abstractNumId w:val="12"/>
  </w:num>
  <w:num w:numId="4">
    <w:abstractNumId w:val="8"/>
  </w:num>
  <w:num w:numId="5">
    <w:abstractNumId w:val="17"/>
  </w:num>
  <w:num w:numId="6">
    <w:abstractNumId w:val="10"/>
  </w:num>
  <w:num w:numId="7">
    <w:abstractNumId w:val="14"/>
  </w:num>
  <w:num w:numId="8">
    <w:abstractNumId w:val="4"/>
  </w:num>
  <w:num w:numId="9">
    <w:abstractNumId w:val="3"/>
  </w:num>
  <w:num w:numId="10">
    <w:abstractNumId w:val="2"/>
  </w:num>
  <w:num w:numId="11">
    <w:abstractNumId w:val="6"/>
  </w:num>
  <w:num w:numId="12">
    <w:abstractNumId w:val="20"/>
  </w:num>
  <w:num w:numId="13">
    <w:abstractNumId w:val="16"/>
  </w:num>
  <w:num w:numId="14">
    <w:abstractNumId w:val="9"/>
  </w:num>
  <w:num w:numId="15">
    <w:abstractNumId w:val="15"/>
  </w:num>
  <w:num w:numId="16">
    <w:abstractNumId w:val="19"/>
  </w:num>
  <w:num w:numId="17">
    <w:abstractNumId w:val="13"/>
  </w:num>
  <w:num w:numId="18">
    <w:abstractNumId w:val="7"/>
  </w:num>
  <w:num w:numId="19">
    <w:abstractNumId w:val="0"/>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36"/>
    <w:rsid w:val="000133DC"/>
    <w:rsid w:val="00013526"/>
    <w:rsid w:val="000143BA"/>
    <w:rsid w:val="000170DC"/>
    <w:rsid w:val="00017E25"/>
    <w:rsid w:val="00020FDB"/>
    <w:rsid w:val="00022987"/>
    <w:rsid w:val="000259EB"/>
    <w:rsid w:val="00027596"/>
    <w:rsid w:val="000306A8"/>
    <w:rsid w:val="0004040E"/>
    <w:rsid w:val="00041453"/>
    <w:rsid w:val="000472E2"/>
    <w:rsid w:val="00057FE6"/>
    <w:rsid w:val="00060F2F"/>
    <w:rsid w:val="00074DDA"/>
    <w:rsid w:val="00076C1D"/>
    <w:rsid w:val="0007737A"/>
    <w:rsid w:val="00081F0D"/>
    <w:rsid w:val="00084E41"/>
    <w:rsid w:val="00085FB4"/>
    <w:rsid w:val="00093075"/>
    <w:rsid w:val="000930FB"/>
    <w:rsid w:val="000938D9"/>
    <w:rsid w:val="00094BE9"/>
    <w:rsid w:val="00094F40"/>
    <w:rsid w:val="00097B1B"/>
    <w:rsid w:val="000A145D"/>
    <w:rsid w:val="000A1EC1"/>
    <w:rsid w:val="000B1191"/>
    <w:rsid w:val="000B5FA6"/>
    <w:rsid w:val="000B65AD"/>
    <w:rsid w:val="000C0960"/>
    <w:rsid w:val="000C600C"/>
    <w:rsid w:val="000D0271"/>
    <w:rsid w:val="000D0574"/>
    <w:rsid w:val="000D21D9"/>
    <w:rsid w:val="000D71F7"/>
    <w:rsid w:val="000E2223"/>
    <w:rsid w:val="000E286C"/>
    <w:rsid w:val="000E7D60"/>
    <w:rsid w:val="000F40AE"/>
    <w:rsid w:val="000F6C4A"/>
    <w:rsid w:val="00100155"/>
    <w:rsid w:val="00100525"/>
    <w:rsid w:val="0010119E"/>
    <w:rsid w:val="001021DA"/>
    <w:rsid w:val="00106889"/>
    <w:rsid w:val="00111030"/>
    <w:rsid w:val="00116299"/>
    <w:rsid w:val="0012084D"/>
    <w:rsid w:val="00122E1F"/>
    <w:rsid w:val="00132DDB"/>
    <w:rsid w:val="00141713"/>
    <w:rsid w:val="00145F0E"/>
    <w:rsid w:val="00152034"/>
    <w:rsid w:val="00154B2B"/>
    <w:rsid w:val="001566AE"/>
    <w:rsid w:val="00170F9A"/>
    <w:rsid w:val="00172DBE"/>
    <w:rsid w:val="00172E81"/>
    <w:rsid w:val="00173272"/>
    <w:rsid w:val="001766B9"/>
    <w:rsid w:val="00177CAD"/>
    <w:rsid w:val="001856F5"/>
    <w:rsid w:val="001861F8"/>
    <w:rsid w:val="00193940"/>
    <w:rsid w:val="00193DF8"/>
    <w:rsid w:val="00195DDC"/>
    <w:rsid w:val="00196A5E"/>
    <w:rsid w:val="001A0859"/>
    <w:rsid w:val="001A2035"/>
    <w:rsid w:val="001A6A89"/>
    <w:rsid w:val="001B00B8"/>
    <w:rsid w:val="001B18E4"/>
    <w:rsid w:val="001B4BA8"/>
    <w:rsid w:val="001C452F"/>
    <w:rsid w:val="001C7121"/>
    <w:rsid w:val="001C78FB"/>
    <w:rsid w:val="001C7E80"/>
    <w:rsid w:val="001E0175"/>
    <w:rsid w:val="001E684B"/>
    <w:rsid w:val="001E6C70"/>
    <w:rsid w:val="001E71E7"/>
    <w:rsid w:val="001F2C33"/>
    <w:rsid w:val="001F3342"/>
    <w:rsid w:val="001F5DC8"/>
    <w:rsid w:val="00204638"/>
    <w:rsid w:val="00204F03"/>
    <w:rsid w:val="00204F5E"/>
    <w:rsid w:val="002060A2"/>
    <w:rsid w:val="0021082E"/>
    <w:rsid w:val="00213B2F"/>
    <w:rsid w:val="00213C44"/>
    <w:rsid w:val="00220BF5"/>
    <w:rsid w:val="00221E1D"/>
    <w:rsid w:val="00226CCD"/>
    <w:rsid w:val="00231632"/>
    <w:rsid w:val="00232DA8"/>
    <w:rsid w:val="0023799A"/>
    <w:rsid w:val="00241D7E"/>
    <w:rsid w:val="00244280"/>
    <w:rsid w:val="00244FDA"/>
    <w:rsid w:val="00245F00"/>
    <w:rsid w:val="00250ECA"/>
    <w:rsid w:val="00252A63"/>
    <w:rsid w:val="002568C8"/>
    <w:rsid w:val="00262546"/>
    <w:rsid w:val="00267FE8"/>
    <w:rsid w:val="0027079B"/>
    <w:rsid w:val="00275C00"/>
    <w:rsid w:val="00276C42"/>
    <w:rsid w:val="00283F50"/>
    <w:rsid w:val="00285C30"/>
    <w:rsid w:val="002865AF"/>
    <w:rsid w:val="002914E8"/>
    <w:rsid w:val="00296160"/>
    <w:rsid w:val="002A35A9"/>
    <w:rsid w:val="002B10A1"/>
    <w:rsid w:val="002B3429"/>
    <w:rsid w:val="002B3E5D"/>
    <w:rsid w:val="002B7E1A"/>
    <w:rsid w:val="002C2860"/>
    <w:rsid w:val="002D0975"/>
    <w:rsid w:val="002D3177"/>
    <w:rsid w:val="002E28F5"/>
    <w:rsid w:val="002E7602"/>
    <w:rsid w:val="002E7BA8"/>
    <w:rsid w:val="002F376B"/>
    <w:rsid w:val="00301045"/>
    <w:rsid w:val="00301FA7"/>
    <w:rsid w:val="00310944"/>
    <w:rsid w:val="003125B9"/>
    <w:rsid w:val="00313BBD"/>
    <w:rsid w:val="00320FFF"/>
    <w:rsid w:val="00323B3B"/>
    <w:rsid w:val="00332985"/>
    <w:rsid w:val="003331AA"/>
    <w:rsid w:val="0034384C"/>
    <w:rsid w:val="003449AD"/>
    <w:rsid w:val="0035116F"/>
    <w:rsid w:val="00351B6C"/>
    <w:rsid w:val="0035385C"/>
    <w:rsid w:val="0036352F"/>
    <w:rsid w:val="0038070B"/>
    <w:rsid w:val="003824FE"/>
    <w:rsid w:val="00383644"/>
    <w:rsid w:val="00384FD3"/>
    <w:rsid w:val="00385B06"/>
    <w:rsid w:val="00390934"/>
    <w:rsid w:val="00390DF4"/>
    <w:rsid w:val="0039543F"/>
    <w:rsid w:val="0039729E"/>
    <w:rsid w:val="003A0113"/>
    <w:rsid w:val="003A02A5"/>
    <w:rsid w:val="003A5592"/>
    <w:rsid w:val="003A5ACD"/>
    <w:rsid w:val="003B5A1C"/>
    <w:rsid w:val="003B767E"/>
    <w:rsid w:val="003C171F"/>
    <w:rsid w:val="003E3E22"/>
    <w:rsid w:val="003F22E3"/>
    <w:rsid w:val="003F5B0D"/>
    <w:rsid w:val="003F7BE1"/>
    <w:rsid w:val="004000B0"/>
    <w:rsid w:val="004008ED"/>
    <w:rsid w:val="00402C1E"/>
    <w:rsid w:val="00425CAE"/>
    <w:rsid w:val="00425D99"/>
    <w:rsid w:val="00426547"/>
    <w:rsid w:val="0043262E"/>
    <w:rsid w:val="00432C7B"/>
    <w:rsid w:val="004444EF"/>
    <w:rsid w:val="004455B7"/>
    <w:rsid w:val="00452054"/>
    <w:rsid w:val="00453470"/>
    <w:rsid w:val="00453A62"/>
    <w:rsid w:val="004576AB"/>
    <w:rsid w:val="00457E7C"/>
    <w:rsid w:val="00461281"/>
    <w:rsid w:val="004617D9"/>
    <w:rsid w:val="00461941"/>
    <w:rsid w:val="004649FA"/>
    <w:rsid w:val="00467959"/>
    <w:rsid w:val="0047783B"/>
    <w:rsid w:val="00477F63"/>
    <w:rsid w:val="00487011"/>
    <w:rsid w:val="0049219D"/>
    <w:rsid w:val="0049329B"/>
    <w:rsid w:val="00495BCD"/>
    <w:rsid w:val="004966E1"/>
    <w:rsid w:val="004A57F5"/>
    <w:rsid w:val="004A5D26"/>
    <w:rsid w:val="004A7723"/>
    <w:rsid w:val="004A7F16"/>
    <w:rsid w:val="004B41B3"/>
    <w:rsid w:val="004B4DE8"/>
    <w:rsid w:val="004B7A75"/>
    <w:rsid w:val="004C0F86"/>
    <w:rsid w:val="004C3D5E"/>
    <w:rsid w:val="004D13B9"/>
    <w:rsid w:val="004E2278"/>
    <w:rsid w:val="004E6CA1"/>
    <w:rsid w:val="004F084D"/>
    <w:rsid w:val="004F3167"/>
    <w:rsid w:val="004F3FCA"/>
    <w:rsid w:val="004F594C"/>
    <w:rsid w:val="004F74AC"/>
    <w:rsid w:val="0050639C"/>
    <w:rsid w:val="00510E02"/>
    <w:rsid w:val="005143F2"/>
    <w:rsid w:val="00522C32"/>
    <w:rsid w:val="00523BCE"/>
    <w:rsid w:val="00536793"/>
    <w:rsid w:val="005416AB"/>
    <w:rsid w:val="005426C7"/>
    <w:rsid w:val="005541FD"/>
    <w:rsid w:val="00581F81"/>
    <w:rsid w:val="0058265A"/>
    <w:rsid w:val="00585746"/>
    <w:rsid w:val="005859F8"/>
    <w:rsid w:val="00592D7B"/>
    <w:rsid w:val="0059672C"/>
    <w:rsid w:val="005A14C2"/>
    <w:rsid w:val="005A26A2"/>
    <w:rsid w:val="005B69B2"/>
    <w:rsid w:val="005C3C14"/>
    <w:rsid w:val="005C50C9"/>
    <w:rsid w:val="005C548E"/>
    <w:rsid w:val="005D0593"/>
    <w:rsid w:val="005D4286"/>
    <w:rsid w:val="005E0577"/>
    <w:rsid w:val="005E486C"/>
    <w:rsid w:val="005E6353"/>
    <w:rsid w:val="005E7821"/>
    <w:rsid w:val="005F25AC"/>
    <w:rsid w:val="005F3B15"/>
    <w:rsid w:val="005F7336"/>
    <w:rsid w:val="00612913"/>
    <w:rsid w:val="00622120"/>
    <w:rsid w:val="006275E8"/>
    <w:rsid w:val="00634D26"/>
    <w:rsid w:val="00642DD5"/>
    <w:rsid w:val="006438D9"/>
    <w:rsid w:val="00643D9D"/>
    <w:rsid w:val="0064408F"/>
    <w:rsid w:val="00656EBD"/>
    <w:rsid w:val="006603EC"/>
    <w:rsid w:val="00663F00"/>
    <w:rsid w:val="00667174"/>
    <w:rsid w:val="00675F91"/>
    <w:rsid w:val="00680B73"/>
    <w:rsid w:val="00685F92"/>
    <w:rsid w:val="0068613C"/>
    <w:rsid w:val="0069771F"/>
    <w:rsid w:val="006B5F33"/>
    <w:rsid w:val="006B6777"/>
    <w:rsid w:val="006C0158"/>
    <w:rsid w:val="006C63EB"/>
    <w:rsid w:val="006D1B3E"/>
    <w:rsid w:val="006D2ECE"/>
    <w:rsid w:val="006E124E"/>
    <w:rsid w:val="006E4E19"/>
    <w:rsid w:val="006E6A5B"/>
    <w:rsid w:val="006F04C1"/>
    <w:rsid w:val="006F228A"/>
    <w:rsid w:val="006F4E5B"/>
    <w:rsid w:val="0070133F"/>
    <w:rsid w:val="0070220E"/>
    <w:rsid w:val="00704E99"/>
    <w:rsid w:val="00706F25"/>
    <w:rsid w:val="00712E16"/>
    <w:rsid w:val="007204D8"/>
    <w:rsid w:val="00726386"/>
    <w:rsid w:val="00735F46"/>
    <w:rsid w:val="007406A4"/>
    <w:rsid w:val="0074129D"/>
    <w:rsid w:val="0074189C"/>
    <w:rsid w:val="0074421E"/>
    <w:rsid w:val="0075261C"/>
    <w:rsid w:val="0075429B"/>
    <w:rsid w:val="007612A2"/>
    <w:rsid w:val="00762E2C"/>
    <w:rsid w:val="007636EB"/>
    <w:rsid w:val="007656CE"/>
    <w:rsid w:val="007669C3"/>
    <w:rsid w:val="0078270C"/>
    <w:rsid w:val="0078517E"/>
    <w:rsid w:val="00791746"/>
    <w:rsid w:val="0079308D"/>
    <w:rsid w:val="007A2E39"/>
    <w:rsid w:val="007A3BB5"/>
    <w:rsid w:val="007A6A31"/>
    <w:rsid w:val="007A6ADA"/>
    <w:rsid w:val="007B15C5"/>
    <w:rsid w:val="007B65A5"/>
    <w:rsid w:val="007B6717"/>
    <w:rsid w:val="007C0902"/>
    <w:rsid w:val="007C1830"/>
    <w:rsid w:val="007C203A"/>
    <w:rsid w:val="007C3556"/>
    <w:rsid w:val="007D51BE"/>
    <w:rsid w:val="007E2158"/>
    <w:rsid w:val="007E3023"/>
    <w:rsid w:val="007E4651"/>
    <w:rsid w:val="007E6019"/>
    <w:rsid w:val="007E68B7"/>
    <w:rsid w:val="007F3062"/>
    <w:rsid w:val="007F36BA"/>
    <w:rsid w:val="007F45EF"/>
    <w:rsid w:val="007F770C"/>
    <w:rsid w:val="00804943"/>
    <w:rsid w:val="00810729"/>
    <w:rsid w:val="00812D69"/>
    <w:rsid w:val="00813451"/>
    <w:rsid w:val="00815026"/>
    <w:rsid w:val="0082659C"/>
    <w:rsid w:val="00826F3D"/>
    <w:rsid w:val="008355FF"/>
    <w:rsid w:val="00842185"/>
    <w:rsid w:val="00845B67"/>
    <w:rsid w:val="00846500"/>
    <w:rsid w:val="00846560"/>
    <w:rsid w:val="0085345A"/>
    <w:rsid w:val="00854E57"/>
    <w:rsid w:val="00855540"/>
    <w:rsid w:val="008557DE"/>
    <w:rsid w:val="00855A87"/>
    <w:rsid w:val="00856989"/>
    <w:rsid w:val="00866566"/>
    <w:rsid w:val="00870A72"/>
    <w:rsid w:val="00870BFE"/>
    <w:rsid w:val="00873D5E"/>
    <w:rsid w:val="008755B9"/>
    <w:rsid w:val="00880F63"/>
    <w:rsid w:val="00882EB7"/>
    <w:rsid w:val="0089164C"/>
    <w:rsid w:val="00891854"/>
    <w:rsid w:val="0089201F"/>
    <w:rsid w:val="00897FCF"/>
    <w:rsid w:val="008A2840"/>
    <w:rsid w:val="008D4163"/>
    <w:rsid w:val="008D4A95"/>
    <w:rsid w:val="008E1699"/>
    <w:rsid w:val="008E3E9B"/>
    <w:rsid w:val="009072FE"/>
    <w:rsid w:val="0091177C"/>
    <w:rsid w:val="00914EB8"/>
    <w:rsid w:val="00923F07"/>
    <w:rsid w:val="00925AFF"/>
    <w:rsid w:val="0093076E"/>
    <w:rsid w:val="00943F28"/>
    <w:rsid w:val="0096265F"/>
    <w:rsid w:val="00962E89"/>
    <w:rsid w:val="00966F8F"/>
    <w:rsid w:val="00972EBC"/>
    <w:rsid w:val="0098063E"/>
    <w:rsid w:val="009921CF"/>
    <w:rsid w:val="009927C5"/>
    <w:rsid w:val="00992DFB"/>
    <w:rsid w:val="00995C07"/>
    <w:rsid w:val="00997073"/>
    <w:rsid w:val="009B076F"/>
    <w:rsid w:val="009C1B43"/>
    <w:rsid w:val="009D1E1D"/>
    <w:rsid w:val="009D2AA6"/>
    <w:rsid w:val="009D6713"/>
    <w:rsid w:val="009D71B8"/>
    <w:rsid w:val="009E002F"/>
    <w:rsid w:val="009E7E46"/>
    <w:rsid w:val="009F056D"/>
    <w:rsid w:val="009F71FA"/>
    <w:rsid w:val="00A021DD"/>
    <w:rsid w:val="00A05FB6"/>
    <w:rsid w:val="00A211FA"/>
    <w:rsid w:val="00A25500"/>
    <w:rsid w:val="00A272E8"/>
    <w:rsid w:val="00A31899"/>
    <w:rsid w:val="00A338E3"/>
    <w:rsid w:val="00A37CCE"/>
    <w:rsid w:val="00A403F8"/>
    <w:rsid w:val="00A4338B"/>
    <w:rsid w:val="00A5364B"/>
    <w:rsid w:val="00A55330"/>
    <w:rsid w:val="00A56619"/>
    <w:rsid w:val="00A5672E"/>
    <w:rsid w:val="00A57BEF"/>
    <w:rsid w:val="00A62EFD"/>
    <w:rsid w:val="00A65D04"/>
    <w:rsid w:val="00A772FC"/>
    <w:rsid w:val="00A852E2"/>
    <w:rsid w:val="00A90665"/>
    <w:rsid w:val="00A92567"/>
    <w:rsid w:val="00A93661"/>
    <w:rsid w:val="00AA4CA0"/>
    <w:rsid w:val="00AB31E1"/>
    <w:rsid w:val="00AB5CEE"/>
    <w:rsid w:val="00AD41B8"/>
    <w:rsid w:val="00AE5222"/>
    <w:rsid w:val="00AE5FF2"/>
    <w:rsid w:val="00AF11FF"/>
    <w:rsid w:val="00AF4B11"/>
    <w:rsid w:val="00B01994"/>
    <w:rsid w:val="00B163D4"/>
    <w:rsid w:val="00B220C0"/>
    <w:rsid w:val="00B24F09"/>
    <w:rsid w:val="00B33AC7"/>
    <w:rsid w:val="00B40F2D"/>
    <w:rsid w:val="00B47A00"/>
    <w:rsid w:val="00B52ED5"/>
    <w:rsid w:val="00B55849"/>
    <w:rsid w:val="00B62146"/>
    <w:rsid w:val="00B66930"/>
    <w:rsid w:val="00B67FC5"/>
    <w:rsid w:val="00B8035C"/>
    <w:rsid w:val="00B82352"/>
    <w:rsid w:val="00B84DBC"/>
    <w:rsid w:val="00B8600C"/>
    <w:rsid w:val="00B92E1D"/>
    <w:rsid w:val="00BB2EAA"/>
    <w:rsid w:val="00BC0CA2"/>
    <w:rsid w:val="00BC7628"/>
    <w:rsid w:val="00BD3CDD"/>
    <w:rsid w:val="00BE0950"/>
    <w:rsid w:val="00BE19C5"/>
    <w:rsid w:val="00BE2028"/>
    <w:rsid w:val="00BE47B3"/>
    <w:rsid w:val="00BF23E8"/>
    <w:rsid w:val="00BF5511"/>
    <w:rsid w:val="00C01E11"/>
    <w:rsid w:val="00C02D2D"/>
    <w:rsid w:val="00C0531D"/>
    <w:rsid w:val="00C05A34"/>
    <w:rsid w:val="00C05D0F"/>
    <w:rsid w:val="00C061B0"/>
    <w:rsid w:val="00C127C6"/>
    <w:rsid w:val="00C13444"/>
    <w:rsid w:val="00C13CE2"/>
    <w:rsid w:val="00C240AA"/>
    <w:rsid w:val="00C32D8B"/>
    <w:rsid w:val="00C43ECF"/>
    <w:rsid w:val="00C472E7"/>
    <w:rsid w:val="00C473E4"/>
    <w:rsid w:val="00C54AD1"/>
    <w:rsid w:val="00C64D24"/>
    <w:rsid w:val="00C6516A"/>
    <w:rsid w:val="00C65D99"/>
    <w:rsid w:val="00C73EBA"/>
    <w:rsid w:val="00C8550D"/>
    <w:rsid w:val="00C8577A"/>
    <w:rsid w:val="00C9193C"/>
    <w:rsid w:val="00C91A75"/>
    <w:rsid w:val="00C940E8"/>
    <w:rsid w:val="00CB576B"/>
    <w:rsid w:val="00CC145A"/>
    <w:rsid w:val="00CC294C"/>
    <w:rsid w:val="00CC7C37"/>
    <w:rsid w:val="00CD1298"/>
    <w:rsid w:val="00CD3D28"/>
    <w:rsid w:val="00CD57F0"/>
    <w:rsid w:val="00CD5C60"/>
    <w:rsid w:val="00CE03CB"/>
    <w:rsid w:val="00CE1269"/>
    <w:rsid w:val="00CE26A7"/>
    <w:rsid w:val="00CF0D10"/>
    <w:rsid w:val="00CF1790"/>
    <w:rsid w:val="00D112C1"/>
    <w:rsid w:val="00D115E0"/>
    <w:rsid w:val="00D1178E"/>
    <w:rsid w:val="00D147CF"/>
    <w:rsid w:val="00D22E24"/>
    <w:rsid w:val="00D24FC7"/>
    <w:rsid w:val="00D252BC"/>
    <w:rsid w:val="00D3331A"/>
    <w:rsid w:val="00D377D1"/>
    <w:rsid w:val="00D63FEA"/>
    <w:rsid w:val="00D64A66"/>
    <w:rsid w:val="00D712F7"/>
    <w:rsid w:val="00D83A4D"/>
    <w:rsid w:val="00D83DD2"/>
    <w:rsid w:val="00D83EE2"/>
    <w:rsid w:val="00D93407"/>
    <w:rsid w:val="00D95782"/>
    <w:rsid w:val="00DA1A49"/>
    <w:rsid w:val="00DA54CD"/>
    <w:rsid w:val="00DA5C78"/>
    <w:rsid w:val="00DA5CEA"/>
    <w:rsid w:val="00DB4018"/>
    <w:rsid w:val="00DB50EF"/>
    <w:rsid w:val="00DD3F7D"/>
    <w:rsid w:val="00DD4E23"/>
    <w:rsid w:val="00DD58BE"/>
    <w:rsid w:val="00DE0F93"/>
    <w:rsid w:val="00DE1B9C"/>
    <w:rsid w:val="00DF1BFF"/>
    <w:rsid w:val="00DF7376"/>
    <w:rsid w:val="00DF7A2E"/>
    <w:rsid w:val="00E04B3A"/>
    <w:rsid w:val="00E12E56"/>
    <w:rsid w:val="00E20BDF"/>
    <w:rsid w:val="00E22A97"/>
    <w:rsid w:val="00E22CAD"/>
    <w:rsid w:val="00E23FF7"/>
    <w:rsid w:val="00E319E7"/>
    <w:rsid w:val="00E3458D"/>
    <w:rsid w:val="00E354DC"/>
    <w:rsid w:val="00E400CB"/>
    <w:rsid w:val="00E47765"/>
    <w:rsid w:val="00E61262"/>
    <w:rsid w:val="00E62D23"/>
    <w:rsid w:val="00E63795"/>
    <w:rsid w:val="00E7020B"/>
    <w:rsid w:val="00E702D0"/>
    <w:rsid w:val="00E73A30"/>
    <w:rsid w:val="00E75FBD"/>
    <w:rsid w:val="00E918D3"/>
    <w:rsid w:val="00E91D4E"/>
    <w:rsid w:val="00E92078"/>
    <w:rsid w:val="00E95F9F"/>
    <w:rsid w:val="00E962CC"/>
    <w:rsid w:val="00E96B0D"/>
    <w:rsid w:val="00EA0C0E"/>
    <w:rsid w:val="00EA3787"/>
    <w:rsid w:val="00EB183C"/>
    <w:rsid w:val="00EB3AFE"/>
    <w:rsid w:val="00EB5F82"/>
    <w:rsid w:val="00ED3F0E"/>
    <w:rsid w:val="00ED78E4"/>
    <w:rsid w:val="00EF224C"/>
    <w:rsid w:val="00EF445B"/>
    <w:rsid w:val="00EF7915"/>
    <w:rsid w:val="00EF7C91"/>
    <w:rsid w:val="00F11268"/>
    <w:rsid w:val="00F15B24"/>
    <w:rsid w:val="00F178EB"/>
    <w:rsid w:val="00F203E6"/>
    <w:rsid w:val="00F2205C"/>
    <w:rsid w:val="00F22474"/>
    <w:rsid w:val="00F24956"/>
    <w:rsid w:val="00F269E6"/>
    <w:rsid w:val="00F26ADF"/>
    <w:rsid w:val="00F3142D"/>
    <w:rsid w:val="00F34630"/>
    <w:rsid w:val="00F362C8"/>
    <w:rsid w:val="00F37B00"/>
    <w:rsid w:val="00F431BF"/>
    <w:rsid w:val="00F44FE0"/>
    <w:rsid w:val="00F4590E"/>
    <w:rsid w:val="00F505FE"/>
    <w:rsid w:val="00F523E9"/>
    <w:rsid w:val="00F56501"/>
    <w:rsid w:val="00F57D36"/>
    <w:rsid w:val="00F6213E"/>
    <w:rsid w:val="00F627B3"/>
    <w:rsid w:val="00F6496E"/>
    <w:rsid w:val="00F7061E"/>
    <w:rsid w:val="00F72E23"/>
    <w:rsid w:val="00F84239"/>
    <w:rsid w:val="00F941FF"/>
    <w:rsid w:val="00F94B75"/>
    <w:rsid w:val="00F96114"/>
    <w:rsid w:val="00FA0995"/>
    <w:rsid w:val="00FA0E2D"/>
    <w:rsid w:val="00FA0EDB"/>
    <w:rsid w:val="00FA4D35"/>
    <w:rsid w:val="00FA66BB"/>
    <w:rsid w:val="00FA705D"/>
    <w:rsid w:val="00FA79F1"/>
    <w:rsid w:val="00FA7B97"/>
    <w:rsid w:val="00FC123F"/>
    <w:rsid w:val="00FC2158"/>
    <w:rsid w:val="00FC22EF"/>
    <w:rsid w:val="00FD0B82"/>
    <w:rsid w:val="00FD4982"/>
    <w:rsid w:val="00FD6CF2"/>
    <w:rsid w:val="00FE2FDA"/>
    <w:rsid w:val="00FF658A"/>
    <w:rsid w:val="39A1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link w:val="21"/>
    <w:qFormat/>
    <w:uiPriority w:val="9"/>
    <w:pPr>
      <w:keepNext/>
      <w:numPr>
        <w:ilvl w:val="0"/>
        <w:numId w:val="1"/>
      </w:numPr>
      <w:outlineLvl w:val="0"/>
    </w:pPr>
    <w:rPr>
      <w:rFonts w:asciiTheme="majorHAnsi" w:hAnsiTheme="majorHAnsi" w:eastAsiaTheme="majorEastAsia" w:cstheme="majorBidi"/>
      <w:sz w:val="24"/>
      <w:szCs w:val="24"/>
    </w:rPr>
  </w:style>
  <w:style w:type="paragraph" w:styleId="3">
    <w:name w:val="heading 2"/>
    <w:basedOn w:val="1"/>
    <w:next w:val="1"/>
    <w:link w:val="22"/>
    <w:unhideWhenUsed/>
    <w:qFormat/>
    <w:uiPriority w:val="9"/>
    <w:pPr>
      <w:keepNext/>
      <w:numPr>
        <w:ilvl w:val="1"/>
        <w:numId w:val="1"/>
      </w:numPr>
      <w:outlineLvl w:val="1"/>
    </w:pPr>
    <w:rPr>
      <w:rFonts w:asciiTheme="majorHAnsi" w:hAnsiTheme="majorHAnsi" w:eastAsiaTheme="majorEastAsia" w:cstheme="majorBidi"/>
    </w:rPr>
  </w:style>
  <w:style w:type="paragraph" w:styleId="4">
    <w:name w:val="heading 3"/>
    <w:basedOn w:val="1"/>
    <w:next w:val="1"/>
    <w:link w:val="23"/>
    <w:unhideWhenUsed/>
    <w:qFormat/>
    <w:uiPriority w:val="9"/>
    <w:pPr>
      <w:keepNext/>
      <w:numPr>
        <w:ilvl w:val="2"/>
        <w:numId w:val="1"/>
      </w:numPr>
      <w:ind w:left="400" w:leftChars="400"/>
      <w:outlineLvl w:val="2"/>
    </w:pPr>
    <w:rPr>
      <w:rFonts w:asciiTheme="majorHAnsi" w:hAnsiTheme="majorHAnsi" w:eastAsiaTheme="majorEastAsia" w:cstheme="majorBidi"/>
    </w:rPr>
  </w:style>
  <w:style w:type="paragraph" w:styleId="5">
    <w:name w:val="heading 4"/>
    <w:basedOn w:val="1"/>
    <w:next w:val="1"/>
    <w:link w:val="24"/>
    <w:unhideWhenUsed/>
    <w:qFormat/>
    <w:uiPriority w:val="9"/>
    <w:pPr>
      <w:keepNext/>
      <w:numPr>
        <w:ilvl w:val="3"/>
        <w:numId w:val="1"/>
      </w:numPr>
      <w:ind w:left="400" w:leftChars="400"/>
      <w:outlineLvl w:val="3"/>
    </w:pPr>
    <w:rPr>
      <w:b/>
      <w:bCs/>
    </w:rPr>
  </w:style>
  <w:style w:type="paragraph" w:styleId="6">
    <w:name w:val="heading 5"/>
    <w:basedOn w:val="1"/>
    <w:next w:val="1"/>
    <w:link w:val="25"/>
    <w:unhideWhenUsed/>
    <w:qFormat/>
    <w:uiPriority w:val="9"/>
    <w:pPr>
      <w:keepNext/>
      <w:numPr>
        <w:ilvl w:val="4"/>
        <w:numId w:val="1"/>
      </w:numPr>
      <w:ind w:left="800" w:leftChars="800"/>
      <w:outlineLvl w:val="4"/>
    </w:pPr>
    <w:rPr>
      <w:rFonts w:asciiTheme="majorHAnsi" w:hAnsiTheme="majorHAnsi" w:eastAsiaTheme="majorEastAsia" w:cstheme="majorBidi"/>
    </w:rPr>
  </w:style>
  <w:style w:type="paragraph" w:styleId="7">
    <w:name w:val="heading 6"/>
    <w:basedOn w:val="1"/>
    <w:next w:val="1"/>
    <w:link w:val="26"/>
    <w:unhideWhenUsed/>
    <w:qFormat/>
    <w:uiPriority w:val="9"/>
    <w:pPr>
      <w:keepNext/>
      <w:numPr>
        <w:ilvl w:val="5"/>
        <w:numId w:val="1"/>
      </w:numPr>
      <w:ind w:left="800" w:leftChars="800"/>
      <w:outlineLvl w:val="5"/>
    </w:pPr>
    <w:rPr>
      <w:b/>
      <w:bCs/>
    </w:rPr>
  </w:style>
  <w:style w:type="paragraph" w:styleId="8">
    <w:name w:val="heading 7"/>
    <w:basedOn w:val="1"/>
    <w:next w:val="1"/>
    <w:link w:val="27"/>
    <w:unhideWhenUsed/>
    <w:qFormat/>
    <w:uiPriority w:val="9"/>
    <w:pPr>
      <w:keepNext/>
      <w:numPr>
        <w:ilvl w:val="6"/>
        <w:numId w:val="1"/>
      </w:numPr>
      <w:ind w:left="800" w:leftChars="800"/>
      <w:outlineLvl w:val="6"/>
    </w:pPr>
  </w:style>
  <w:style w:type="paragraph" w:styleId="9">
    <w:name w:val="heading 8"/>
    <w:basedOn w:val="1"/>
    <w:next w:val="1"/>
    <w:link w:val="28"/>
    <w:unhideWhenUsed/>
    <w:qFormat/>
    <w:uiPriority w:val="9"/>
    <w:pPr>
      <w:keepNext/>
      <w:numPr>
        <w:ilvl w:val="7"/>
        <w:numId w:val="1"/>
      </w:numPr>
      <w:ind w:left="1200" w:leftChars="1200"/>
      <w:outlineLvl w:val="7"/>
    </w:pPr>
  </w:style>
  <w:style w:type="paragraph" w:styleId="10">
    <w:name w:val="heading 9"/>
    <w:basedOn w:val="1"/>
    <w:next w:val="1"/>
    <w:link w:val="29"/>
    <w:unhideWhenUsed/>
    <w:qFormat/>
    <w:uiPriority w:val="9"/>
    <w:pPr>
      <w:keepNext/>
      <w:numPr>
        <w:ilvl w:val="8"/>
        <w:numId w:val="1"/>
      </w:numPr>
      <w:ind w:left="1200" w:leftChars="1200"/>
      <w:outlineLvl w:val="8"/>
    </w:pPr>
  </w:style>
  <w:style w:type="character" w:default="1" w:styleId="15">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11">
    <w:name w:val="footer"/>
    <w:basedOn w:val="1"/>
    <w:link w:val="37"/>
    <w:unhideWhenUsed/>
    <w:uiPriority w:val="99"/>
    <w:pPr>
      <w:tabs>
        <w:tab w:val="center" w:pos="4252"/>
        <w:tab w:val="right" w:pos="8504"/>
      </w:tabs>
      <w:snapToGrid w:val="0"/>
    </w:pPr>
  </w:style>
  <w:style w:type="paragraph" w:styleId="12">
    <w:name w:val="footnote text"/>
    <w:basedOn w:val="1"/>
    <w:link w:val="32"/>
    <w:unhideWhenUsed/>
    <w:uiPriority w:val="99"/>
    <w:pPr>
      <w:widowControl/>
      <w:jc w:val="left"/>
    </w:pPr>
    <w:rPr>
      <w:rFonts w:cs="Times New Roman"/>
      <w:kern w:val="0"/>
      <w:sz w:val="20"/>
      <w:szCs w:val="20"/>
    </w:rPr>
  </w:style>
  <w:style w:type="paragraph" w:styleId="13">
    <w:name w:val="Balloon Text"/>
    <w:basedOn w:val="1"/>
    <w:link w:val="38"/>
    <w:unhideWhenUsed/>
    <w:uiPriority w:val="99"/>
    <w:rPr>
      <w:rFonts w:asciiTheme="majorHAnsi" w:hAnsiTheme="majorHAnsi" w:eastAsiaTheme="majorEastAsia" w:cstheme="majorBidi"/>
      <w:sz w:val="18"/>
      <w:szCs w:val="18"/>
    </w:rPr>
  </w:style>
  <w:style w:type="paragraph" w:styleId="14">
    <w:name w:val="header"/>
    <w:basedOn w:val="1"/>
    <w:link w:val="36"/>
    <w:unhideWhenUsed/>
    <w:uiPriority w:val="99"/>
    <w:pPr>
      <w:tabs>
        <w:tab w:val="center" w:pos="4252"/>
        <w:tab w:val="right" w:pos="8504"/>
      </w:tabs>
      <w:snapToGrid w:val="0"/>
    </w:p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8">
    <w:name w:val="Light Shading Accent 1"/>
    <w:basedOn w:val="16"/>
    <w:uiPriority w:val="60"/>
    <w:rPr>
      <w:color w:val="2E75B6" w:themeColor="accent1" w:themeShade="BF"/>
      <w:kern w:val="0"/>
      <w:sz w:val="22"/>
    </w:rPr>
    <w:tblPr>
      <w:tblBorders>
        <w:top w:val="single" w:color="5B9BD5" w:themeColor="accent1" w:sz="8" w:space="0"/>
        <w:bottom w:val="single" w:color="5B9BD5" w:themeColor="accent1" w:sz="8" w:space="0"/>
      </w:tblBorders>
      <w:tblLayout w:type="fixed"/>
    </w:tblPr>
    <w:tblStylePr w:type="firstRow">
      <w:pPr>
        <w:spacing w:before="0" w:after="0" w:line="240" w:lineRule="auto"/>
      </w:pPr>
      <w:rPr>
        <w:b/>
        <w:bCs/>
      </w:rPr>
      <w:tblPr>
        <w:tblLayout w:type="fixed"/>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6E6F4" w:themeFill="accent1" w:themeFillTint="3F"/>
      </w:tcPr>
    </w:tblStylePr>
    <w:tblStylePr w:type="band1Horz">
      <w:tblPr>
        <w:tblLayout w:type="fixed"/>
      </w:tblPr>
      <w:tcPr>
        <w:tcBorders>
          <w:left w:val="nil"/>
          <w:right w:val="nil"/>
          <w:insideH w:val="nil"/>
          <w:insideV w:val="nil"/>
        </w:tcBorders>
        <w:shd w:val="clear" w:color="auto" w:fill="D6E6F4" w:themeFill="accent1" w:themeFillTint="3F"/>
      </w:tcPr>
    </w:tblStylePr>
  </w:style>
  <w:style w:type="table" w:styleId="19">
    <w:name w:val="Light List Accent 3"/>
    <w:basedOn w:val="16"/>
    <w:uiPriority w:val="61"/>
    <w:rPr>
      <w:kern w:val="0"/>
      <w:sz w:val="22"/>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A5A5A5" w:themeFill="accent3"/>
      </w:tcPr>
    </w:tblStylePr>
    <w:tblStylePr w:type="lastRow">
      <w:pPr>
        <w:spacing w:before="0" w:after="0" w:line="240" w:lineRule="auto"/>
      </w:pPr>
      <w:rPr>
        <w:b/>
        <w:bCs/>
      </w:rPr>
      <w:tblPr>
        <w:tblLayout w:type="fixed"/>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blLayout w:type="fixed"/>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blLayout w:type="fixed"/>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paragraph" w:customStyle="1" w:styleId="20">
    <w:name w:val="List Paragraph"/>
    <w:basedOn w:val="1"/>
    <w:qFormat/>
    <w:uiPriority w:val="34"/>
    <w:pPr>
      <w:ind w:left="840" w:leftChars="400"/>
    </w:pPr>
  </w:style>
  <w:style w:type="character" w:customStyle="1" w:styleId="21">
    <w:name w:val="見出し 1 (文字)"/>
    <w:basedOn w:val="15"/>
    <w:link w:val="2"/>
    <w:uiPriority w:val="9"/>
    <w:rPr>
      <w:rFonts w:asciiTheme="majorHAnsi" w:hAnsiTheme="majorHAnsi" w:eastAsiaTheme="majorEastAsia" w:cstheme="majorBidi"/>
      <w:sz w:val="24"/>
      <w:szCs w:val="24"/>
    </w:rPr>
  </w:style>
  <w:style w:type="character" w:customStyle="1" w:styleId="22">
    <w:name w:val="見出し 2 (文字)"/>
    <w:basedOn w:val="15"/>
    <w:link w:val="3"/>
    <w:uiPriority w:val="9"/>
    <w:rPr>
      <w:rFonts w:asciiTheme="majorHAnsi" w:hAnsiTheme="majorHAnsi" w:eastAsiaTheme="majorEastAsia" w:cstheme="majorBidi"/>
    </w:rPr>
  </w:style>
  <w:style w:type="character" w:customStyle="1" w:styleId="23">
    <w:name w:val="見出し 3 (文字)"/>
    <w:basedOn w:val="15"/>
    <w:link w:val="4"/>
    <w:semiHidden/>
    <w:uiPriority w:val="9"/>
    <w:rPr>
      <w:rFonts w:asciiTheme="majorHAnsi" w:hAnsiTheme="majorHAnsi" w:eastAsiaTheme="majorEastAsia" w:cstheme="majorBidi"/>
    </w:rPr>
  </w:style>
  <w:style w:type="character" w:customStyle="1" w:styleId="24">
    <w:name w:val="見出し 4 (文字)"/>
    <w:basedOn w:val="15"/>
    <w:link w:val="5"/>
    <w:semiHidden/>
    <w:uiPriority w:val="9"/>
    <w:rPr>
      <w:b/>
      <w:bCs/>
    </w:rPr>
  </w:style>
  <w:style w:type="character" w:customStyle="1" w:styleId="25">
    <w:name w:val="見出し 5 (文字)"/>
    <w:basedOn w:val="15"/>
    <w:link w:val="6"/>
    <w:semiHidden/>
    <w:uiPriority w:val="9"/>
    <w:rPr>
      <w:rFonts w:asciiTheme="majorHAnsi" w:hAnsiTheme="majorHAnsi" w:eastAsiaTheme="majorEastAsia" w:cstheme="majorBidi"/>
    </w:rPr>
  </w:style>
  <w:style w:type="character" w:customStyle="1" w:styleId="26">
    <w:name w:val="見出し 6 (文字)"/>
    <w:basedOn w:val="15"/>
    <w:link w:val="7"/>
    <w:semiHidden/>
    <w:uiPriority w:val="9"/>
    <w:rPr>
      <w:b/>
      <w:bCs/>
    </w:rPr>
  </w:style>
  <w:style w:type="character" w:customStyle="1" w:styleId="27">
    <w:name w:val="見出し 7 (文字)"/>
    <w:basedOn w:val="15"/>
    <w:link w:val="8"/>
    <w:semiHidden/>
    <w:uiPriority w:val="9"/>
  </w:style>
  <w:style w:type="character" w:customStyle="1" w:styleId="28">
    <w:name w:val="見出し 8 (文字)"/>
    <w:basedOn w:val="15"/>
    <w:link w:val="9"/>
    <w:semiHidden/>
    <w:uiPriority w:val="9"/>
  </w:style>
  <w:style w:type="character" w:customStyle="1" w:styleId="29">
    <w:name w:val="見出し 9 (文字)"/>
    <w:basedOn w:val="15"/>
    <w:link w:val="10"/>
    <w:semiHidden/>
    <w:uiPriority w:val="9"/>
  </w:style>
  <w:style w:type="table" w:customStyle="1" w:styleId="30">
    <w:name w:val="Plain Table 5"/>
    <w:basedOn w:val="16"/>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31">
    <w:name w:val="Decimal Aligned"/>
    <w:basedOn w:val="1"/>
    <w:qFormat/>
    <w:uiPriority w:val="40"/>
    <w:pPr>
      <w:widowControl/>
      <w:tabs>
        <w:tab w:val="decimal" w:pos="360"/>
      </w:tabs>
      <w:spacing w:after="200" w:line="276" w:lineRule="auto"/>
      <w:jc w:val="left"/>
    </w:pPr>
    <w:rPr>
      <w:rFonts w:cs="Times New Roman"/>
      <w:kern w:val="0"/>
      <w:sz w:val="22"/>
    </w:rPr>
  </w:style>
  <w:style w:type="character" w:customStyle="1" w:styleId="32">
    <w:name w:val="脚注文字列 (文字)"/>
    <w:basedOn w:val="15"/>
    <w:link w:val="12"/>
    <w:uiPriority w:val="99"/>
    <w:rPr>
      <w:rFonts w:cs="Times New Roman"/>
      <w:kern w:val="0"/>
      <w:sz w:val="20"/>
      <w:szCs w:val="20"/>
    </w:rPr>
  </w:style>
  <w:style w:type="character" w:customStyle="1" w:styleId="33">
    <w:name w:val="Subtle Emphasis"/>
    <w:basedOn w:val="15"/>
    <w:qFormat/>
    <w:uiPriority w:val="19"/>
    <w:rPr>
      <w:i/>
      <w:iCs/>
    </w:rPr>
  </w:style>
  <w:style w:type="table" w:customStyle="1" w:styleId="34">
    <w:name w:val="List Table 6 Colorful"/>
    <w:basedOn w:val="16"/>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
    <w:name w:val="List Table 3"/>
    <w:basedOn w:val="16"/>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36">
    <w:name w:val="ヘッダー (文字)"/>
    <w:basedOn w:val="15"/>
    <w:link w:val="14"/>
    <w:uiPriority w:val="99"/>
  </w:style>
  <w:style w:type="character" w:customStyle="1" w:styleId="37">
    <w:name w:val="フッター (文字)"/>
    <w:basedOn w:val="15"/>
    <w:link w:val="11"/>
    <w:uiPriority w:val="99"/>
  </w:style>
  <w:style w:type="character" w:customStyle="1" w:styleId="38">
    <w:name w:val="吹き出し (文字)"/>
    <w:basedOn w:val="15"/>
    <w:link w:val="13"/>
    <w:semiHidden/>
    <w:uiPriority w:val="99"/>
    <w:rPr>
      <w:rFonts w:asciiTheme="majorHAnsi" w:hAnsiTheme="majorHAnsi" w:eastAsiaTheme="majorEastAsia" w:cstheme="majorBidi"/>
      <w:sz w:val="18"/>
      <w:szCs w:val="18"/>
    </w:rPr>
  </w:style>
</w:styles>
</file>

<file path=word/_rels/document.xml.rels>&#65279;<?xml version="1.0" encoding="utf-8" standalone="yes"?>
<Relationships xmlns="http://schemas.openxmlformats.org/package/2006/relationships">
  <Relationship Id="rId9" Type="http://schemas.openxmlformats.org/officeDocument/2006/relationships/customXml" Target="../customXml/item2.xml" />
  <Relationship Id="rId8" Type="http://schemas.openxmlformats.org/officeDocument/2006/relationships/numbering" Target="numbering.xml" />
  <Relationship Id="rId7" Type="http://schemas.openxmlformats.org/officeDocument/2006/relationships/customXml" Target="../customXml/item1.xml" />
  <Relationship Id="rId6" Type="http://schemas.openxmlformats.org/officeDocument/2006/relationships/image" Target="media/image1.jpeg" />
  <Relationship Id="rId5" Type="http://schemas.openxmlformats.org/officeDocument/2006/relationships/theme" Target="theme/theme1.xml" />
  <Relationship Id="rId4" Type="http://schemas.openxmlformats.org/officeDocument/2006/relationships/footer" Target="footer2.xml" />
  <Relationship Id="rId3" Type="http://schemas.openxmlformats.org/officeDocument/2006/relationships/footer" Target="footer1.xml" />
  <Relationship Id="rId2" Type="http://schemas.openxmlformats.org/officeDocument/2006/relationships/settings" Target="settings.xml" />
  <Relationship Id="rId10" Type="http://schemas.openxmlformats.org/officeDocument/2006/relationships/fontTable" Target="fontTable.xml" />
  <Relationship Id="rId1" Type="http://schemas.openxmlformats.org/officeDocument/2006/relationships/styles" Target="styl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A82A0-6FE0-465F-98F2-69FB9CE215AE}">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