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73" w:rsidRDefault="00144173" w:rsidP="00144173">
      <w:pPr>
        <w:rPr>
          <w:color w:val="000000" w:themeColor="text1"/>
        </w:rPr>
      </w:pPr>
      <w:r w:rsidRPr="00144173">
        <w:rPr>
          <w:rFonts w:hint="eastAsia"/>
          <w:color w:val="000000" w:themeColor="text1"/>
        </w:rPr>
        <w:t>第６章</w:t>
      </w:r>
      <w:r>
        <w:rPr>
          <w:rFonts w:hint="eastAsia"/>
          <w:color w:val="000000" w:themeColor="text1"/>
        </w:rPr>
        <w:t>、</w:t>
      </w:r>
      <w:r w:rsidRPr="00144173">
        <w:rPr>
          <w:rFonts w:hint="eastAsia"/>
          <w:color w:val="000000" w:themeColor="text1"/>
        </w:rPr>
        <w:t>基本構想の実現に向けて</w:t>
      </w:r>
    </w:p>
    <w:p w:rsidR="00144173" w:rsidRPr="00144173" w:rsidRDefault="00144173" w:rsidP="00144173">
      <w:pPr>
        <w:rPr>
          <w:color w:val="000000" w:themeColor="text1"/>
        </w:rPr>
      </w:pPr>
    </w:p>
    <w:p w:rsidR="00144173" w:rsidRPr="00144173" w:rsidRDefault="00144173" w:rsidP="00144173">
      <w:pPr>
        <w:rPr>
          <w:color w:val="000000" w:themeColor="text1"/>
        </w:rPr>
      </w:pPr>
      <w:r>
        <w:rPr>
          <w:rFonts w:hint="eastAsia"/>
          <w:color w:val="000000" w:themeColor="text1"/>
        </w:rPr>
        <w:t>６の１、</w:t>
      </w:r>
      <w:r w:rsidRPr="00144173">
        <w:rPr>
          <w:rFonts w:hint="eastAsia"/>
          <w:color w:val="000000" w:themeColor="text1"/>
        </w:rPr>
        <w:t>特定事業計画の作成</w:t>
      </w:r>
    </w:p>
    <w:p w:rsidR="00144173" w:rsidRPr="00144173" w:rsidRDefault="00144173" w:rsidP="00144173">
      <w:pPr>
        <w:rPr>
          <w:color w:val="000000" w:themeColor="text1"/>
        </w:rPr>
      </w:pPr>
      <w:r w:rsidRPr="00144173">
        <w:rPr>
          <w:rFonts w:hint="eastAsia"/>
          <w:color w:val="000000" w:themeColor="text1"/>
        </w:rPr>
        <w:t>バリアフリー法において、地区別バリアフリー基本構想で定めた特定事業については、事業を位置づけた施設設置管理者等が特定事業計画を作成し事業を推進することとされています。</w:t>
      </w:r>
    </w:p>
    <w:p w:rsidR="00144173" w:rsidRDefault="00144173" w:rsidP="00144173">
      <w:pPr>
        <w:rPr>
          <w:color w:val="000000" w:themeColor="text1"/>
        </w:rPr>
      </w:pPr>
      <w:r w:rsidRPr="00144173">
        <w:rPr>
          <w:rFonts w:hint="eastAsia"/>
          <w:color w:val="000000" w:themeColor="text1"/>
        </w:rPr>
        <w:t>特定事業計画の作成にあたっては、目標年次に向けて事業の進捗管理ができるよう、施設設置管理者等の計画を市が共通のフォーマットでとりまとめ、共有できるように配慮します。</w:t>
      </w:r>
    </w:p>
    <w:p w:rsidR="00144173" w:rsidRPr="00144173" w:rsidRDefault="00144173" w:rsidP="00144173">
      <w:pPr>
        <w:rPr>
          <w:color w:val="000000" w:themeColor="text1"/>
        </w:rPr>
      </w:pPr>
    </w:p>
    <w:p w:rsidR="00144173" w:rsidRPr="00144173" w:rsidRDefault="00144173" w:rsidP="00144173">
      <w:pPr>
        <w:rPr>
          <w:color w:val="000000" w:themeColor="text1"/>
        </w:rPr>
      </w:pPr>
      <w:r>
        <w:rPr>
          <w:rFonts w:hint="eastAsia"/>
          <w:color w:val="000000" w:themeColor="text1"/>
        </w:rPr>
        <w:t>６の２、</w:t>
      </w:r>
      <w:r w:rsidRPr="00144173">
        <w:rPr>
          <w:rFonts w:hint="eastAsia"/>
          <w:color w:val="000000" w:themeColor="text1"/>
        </w:rPr>
        <w:t>基本構想の段階的かつ継続的な見直し（スパイラルアップ）</w:t>
      </w:r>
    </w:p>
    <w:p w:rsidR="00144173" w:rsidRPr="00144173" w:rsidRDefault="00144173" w:rsidP="00144173">
      <w:pPr>
        <w:rPr>
          <w:color w:val="000000" w:themeColor="text1"/>
        </w:rPr>
      </w:pPr>
      <w:r w:rsidRPr="00144173">
        <w:rPr>
          <w:rFonts w:hint="eastAsia"/>
          <w:color w:val="000000" w:themeColor="text1"/>
        </w:rPr>
        <w:t>地区別バリアフリー基本構想及び特定事業計画の策定以降も、市が特定事業計画の内容やその進捗状況の定期的な確認を行い、必要に応じて千葉市バリアフリー基本構想推進協議会へ報告、並びに地区別バリアフリー基本構想の見直しに向けた調査審議等を行います。</w:t>
      </w:r>
    </w:p>
    <w:p w:rsidR="00144173" w:rsidRPr="00144173" w:rsidRDefault="00144173" w:rsidP="00144173">
      <w:pPr>
        <w:rPr>
          <w:color w:val="000000" w:themeColor="text1"/>
        </w:rPr>
      </w:pPr>
      <w:r w:rsidRPr="00144173">
        <w:rPr>
          <w:rFonts w:hint="eastAsia"/>
          <w:color w:val="000000" w:themeColor="text1"/>
        </w:rPr>
        <w:t>なお、地区別バリアフリー基本構想の見直しの必要性が生じた場合は、バリアフリーマスタープランの中間年度（令和</w:t>
      </w:r>
      <w:r w:rsidR="00BF6D88">
        <w:rPr>
          <w:rFonts w:hint="eastAsia"/>
          <w:color w:val="000000" w:themeColor="text1"/>
        </w:rPr>
        <w:t>７</w:t>
      </w:r>
      <w:r w:rsidRPr="00144173">
        <w:rPr>
          <w:rFonts w:hint="eastAsia"/>
          <w:color w:val="000000" w:themeColor="text1"/>
        </w:rPr>
        <w:t>年度（</w:t>
      </w:r>
      <w:r w:rsidR="00BF6D88">
        <w:rPr>
          <w:rFonts w:hint="eastAsia"/>
          <w:color w:val="000000" w:themeColor="text1"/>
        </w:rPr>
        <w:t>２０２５</w:t>
      </w:r>
      <w:r w:rsidRPr="00144173">
        <w:rPr>
          <w:rFonts w:hint="eastAsia"/>
          <w:color w:val="000000" w:themeColor="text1"/>
        </w:rPr>
        <w:t>年度））に実施する中間評価にあわせて検討を進め、千葉市バリアフリー基本構想推進協議会での審議を踏まえ、段階的かつ継続的な見直し（スパイラルアップ）を図ります。</w:t>
      </w:r>
    </w:p>
    <w:p w:rsidR="00144173" w:rsidRPr="00144173" w:rsidRDefault="00144173" w:rsidP="00144173">
      <w:pPr>
        <w:rPr>
          <w:color w:val="000000" w:themeColor="text1"/>
        </w:rPr>
      </w:pPr>
      <w:r w:rsidRPr="00144173">
        <w:rPr>
          <w:rFonts w:hint="eastAsia"/>
          <w:color w:val="000000" w:themeColor="text1"/>
        </w:rPr>
        <w:t>また、バリアフリーマスタープランの最終年度（令和</w:t>
      </w:r>
      <w:r w:rsidR="00BF6D88">
        <w:rPr>
          <w:rFonts w:hint="eastAsia"/>
          <w:color w:val="000000" w:themeColor="text1"/>
        </w:rPr>
        <w:t>１２</w:t>
      </w:r>
      <w:r w:rsidRPr="00144173">
        <w:rPr>
          <w:rFonts w:hint="eastAsia"/>
          <w:color w:val="000000" w:themeColor="text1"/>
        </w:rPr>
        <w:t>年度（</w:t>
      </w:r>
      <w:r w:rsidR="00BF6D88">
        <w:rPr>
          <w:rFonts w:hint="eastAsia"/>
          <w:color w:val="000000" w:themeColor="text1"/>
        </w:rPr>
        <w:t>２０３０</w:t>
      </w:r>
      <w:bookmarkStart w:id="0" w:name="_GoBack"/>
      <w:bookmarkEnd w:id="0"/>
      <w:r w:rsidRPr="00144173">
        <w:rPr>
          <w:rFonts w:hint="eastAsia"/>
          <w:color w:val="000000" w:themeColor="text1"/>
        </w:rPr>
        <w:t>年度））には、特定事業の進捗状況や社会情勢の変化、バリアフリーをとりまく環境、技術、人々の意識等を踏まえた新たな課題に対する検討を加え、内容の見直しや、必要に応じて改定を行い、引き続きバリアフリー化の継続的な発展を図っていきます。</w:t>
      </w:r>
    </w:p>
    <w:p w:rsidR="00144173" w:rsidRDefault="00144173" w:rsidP="00144173">
      <w:pPr>
        <w:rPr>
          <w:color w:val="000000" w:themeColor="text1"/>
        </w:rPr>
      </w:pPr>
      <w:r>
        <w:rPr>
          <w:color w:val="000000" w:themeColor="text1"/>
        </w:rPr>
        <w:t>以下に、</w:t>
      </w:r>
      <w:r w:rsidRPr="00144173">
        <w:rPr>
          <w:rFonts w:hint="eastAsia"/>
          <w:color w:val="000000" w:themeColor="text1"/>
        </w:rPr>
        <w:t>地区別バリアフリー基本構想のスパイラルアップ概念図</w:t>
      </w:r>
      <w:r>
        <w:rPr>
          <w:rFonts w:hint="eastAsia"/>
          <w:color w:val="000000" w:themeColor="text1"/>
        </w:rPr>
        <w:t>があります。</w:t>
      </w:r>
    </w:p>
    <w:p w:rsidR="00144173" w:rsidRPr="00144173" w:rsidRDefault="00144173" w:rsidP="00144173">
      <w:pPr>
        <w:rPr>
          <w:color w:val="000000" w:themeColor="text1"/>
        </w:rPr>
      </w:pPr>
    </w:p>
    <w:p w:rsidR="00144173" w:rsidRPr="00144173" w:rsidRDefault="00144173" w:rsidP="00144173">
      <w:pPr>
        <w:rPr>
          <w:color w:val="000000" w:themeColor="text1"/>
        </w:rPr>
      </w:pPr>
      <w:r>
        <w:rPr>
          <w:rFonts w:hint="eastAsia"/>
          <w:color w:val="000000" w:themeColor="text1"/>
        </w:rPr>
        <w:t>６の３、</w:t>
      </w:r>
      <w:r w:rsidRPr="00144173">
        <w:rPr>
          <w:rFonts w:hint="eastAsia"/>
          <w:color w:val="000000" w:themeColor="text1"/>
        </w:rPr>
        <w:t>施設設置管理者間の連携</w:t>
      </w:r>
    </w:p>
    <w:p w:rsidR="00144173" w:rsidRPr="00144173" w:rsidRDefault="00144173" w:rsidP="00144173">
      <w:pPr>
        <w:rPr>
          <w:color w:val="000000" w:themeColor="text1"/>
        </w:rPr>
      </w:pPr>
      <w:r w:rsidRPr="00144173">
        <w:rPr>
          <w:rFonts w:hint="eastAsia"/>
          <w:color w:val="000000" w:themeColor="text1"/>
        </w:rPr>
        <w:t>特定事業を推進していく上</w:t>
      </w:r>
      <w:r w:rsidR="00BF6D88">
        <w:rPr>
          <w:rFonts w:hint="eastAsia"/>
          <w:color w:val="000000" w:themeColor="text1"/>
        </w:rPr>
        <w:t>では、個々の施設におけるバリアフリー化だけではなく、面的・一体てき</w:t>
      </w:r>
      <w:r w:rsidRPr="00144173">
        <w:rPr>
          <w:rFonts w:hint="eastAsia"/>
          <w:color w:val="000000" w:themeColor="text1"/>
        </w:rPr>
        <w:t>に移動の連続性を確保していくことが重要です。</w:t>
      </w:r>
    </w:p>
    <w:p w:rsidR="00144173" w:rsidRDefault="00144173" w:rsidP="00144173">
      <w:pPr>
        <w:rPr>
          <w:color w:val="000000" w:themeColor="text1"/>
        </w:rPr>
      </w:pPr>
      <w:r w:rsidRPr="00144173">
        <w:rPr>
          <w:rFonts w:hint="eastAsia"/>
          <w:color w:val="000000" w:themeColor="text1"/>
        </w:rPr>
        <w:t>例えば、道路と建築物との視覚障害者誘導用ブロックの連続性の確保や、鉄道・バス等の交通結節点における連続性の確保が挙げられます。また、視覚障害者誘導用ブロックなどのハード面だけではなく、案内誘導等のソフト面でも、必要に応じて事業者間が連携し、移動の連続性を図ることも効果的なバリアフリー化を進める上で重要です。</w:t>
      </w:r>
    </w:p>
    <w:p w:rsidR="00144173" w:rsidRDefault="00144173" w:rsidP="00144173">
      <w:pPr>
        <w:rPr>
          <w:color w:val="000000" w:themeColor="text1"/>
        </w:rPr>
      </w:pPr>
    </w:p>
    <w:p w:rsidR="00144173" w:rsidRPr="00144173" w:rsidRDefault="00144173" w:rsidP="00144173">
      <w:pPr>
        <w:rPr>
          <w:color w:val="000000" w:themeColor="text1"/>
        </w:rPr>
      </w:pPr>
      <w:r>
        <w:rPr>
          <w:color w:val="000000" w:themeColor="text1"/>
        </w:rPr>
        <w:t>６の４、</w:t>
      </w:r>
      <w:r w:rsidRPr="00144173">
        <w:rPr>
          <w:rFonts w:hint="eastAsia"/>
          <w:color w:val="000000" w:themeColor="text1"/>
        </w:rPr>
        <w:t>基本構想策定後の市民参加</w:t>
      </w:r>
    </w:p>
    <w:p w:rsidR="00144173" w:rsidRPr="00144173" w:rsidRDefault="00144173" w:rsidP="00144173">
      <w:pPr>
        <w:rPr>
          <w:color w:val="000000" w:themeColor="text1"/>
        </w:rPr>
      </w:pPr>
      <w:r w:rsidRPr="00144173">
        <w:rPr>
          <w:rFonts w:hint="eastAsia"/>
          <w:color w:val="000000" w:themeColor="text1"/>
        </w:rPr>
        <w:t>地区別バリアフリー基本構想の策定にあたっては、多様な市民参加の機会を設け、より多くの市民意見を聴取し、合同意見交換会にて市民と施設設置管理者等の相互理解を図られるよう取組んできました。</w:t>
      </w:r>
    </w:p>
    <w:p w:rsidR="00144173" w:rsidRDefault="00144173" w:rsidP="00144173">
      <w:pPr>
        <w:rPr>
          <w:color w:val="000000" w:themeColor="text1"/>
        </w:rPr>
      </w:pPr>
      <w:r w:rsidRPr="00144173">
        <w:rPr>
          <w:rFonts w:hint="eastAsia"/>
          <w:color w:val="000000" w:themeColor="text1"/>
        </w:rPr>
        <w:lastRenderedPageBreak/>
        <w:t>この貴重な経験を踏まえ、地区別バリアフリー基本構想策定以降も、市民参加の機会を探りながら、重点的なバリアフリー化に向けた取組みを進めていきます。</w:t>
      </w:r>
    </w:p>
    <w:p w:rsidR="00144173" w:rsidRDefault="00144173" w:rsidP="00144173">
      <w:pPr>
        <w:rPr>
          <w:color w:val="000000" w:themeColor="text1"/>
        </w:rPr>
      </w:pPr>
    </w:p>
    <w:p w:rsidR="00144173" w:rsidRPr="00144173" w:rsidRDefault="00144173" w:rsidP="00144173">
      <w:pPr>
        <w:rPr>
          <w:color w:val="000000" w:themeColor="text1"/>
        </w:rPr>
      </w:pPr>
      <w:r>
        <w:rPr>
          <w:color w:val="000000" w:themeColor="text1"/>
        </w:rPr>
        <w:t>６の５、</w:t>
      </w:r>
      <w:r w:rsidRPr="00144173">
        <w:rPr>
          <w:rFonts w:hint="eastAsia"/>
          <w:color w:val="000000" w:themeColor="text1"/>
        </w:rPr>
        <w:t>他地区への基本構想検討モデルの展開</w:t>
      </w:r>
    </w:p>
    <w:p w:rsidR="00144173" w:rsidRPr="00144173" w:rsidRDefault="00144173" w:rsidP="00144173">
      <w:pPr>
        <w:rPr>
          <w:color w:val="000000" w:themeColor="text1"/>
        </w:rPr>
      </w:pPr>
      <w:r>
        <w:rPr>
          <w:rFonts w:hint="eastAsia"/>
          <w:color w:val="000000" w:themeColor="text1"/>
        </w:rPr>
        <w:t>３の１</w:t>
      </w:r>
      <w:r w:rsidRPr="00144173">
        <w:rPr>
          <w:rFonts w:hint="eastAsia"/>
          <w:color w:val="000000" w:themeColor="text1"/>
        </w:rPr>
        <w:t>で示した「重点整備地区の設定の考え方」に基づき、バリアフリーマスタープランで設定した促進地区のうち、立地適正化計画において、都心、重要地域拠点に位置づけられている地区を含むものについては、評価要件に基づく優先度等を踏まえた上で、重点整備地区を設定し、地区別バリアフリー基本構想を策定していきます。</w:t>
      </w:r>
    </w:p>
    <w:p w:rsidR="00144173" w:rsidRPr="00144173" w:rsidRDefault="00144173" w:rsidP="00144173">
      <w:pPr>
        <w:rPr>
          <w:color w:val="000000" w:themeColor="text1"/>
        </w:rPr>
      </w:pPr>
      <w:r w:rsidRPr="00144173">
        <w:rPr>
          <w:rFonts w:hint="eastAsia"/>
          <w:color w:val="000000" w:themeColor="text1"/>
        </w:rPr>
        <w:t>他地区での地区別バリアフリー基本構想の策定にあたり、本地区別バリアフリー基本構想における検討内容をモデルとし、他地区に展開することで、早期のバリアフリー化の推進を図ります。</w:t>
      </w:r>
    </w:p>
    <w:p w:rsidR="00813ACD" w:rsidRDefault="00813ACD" w:rsidP="00813ACD">
      <w:pPr>
        <w:rPr>
          <w:color w:val="000000" w:themeColor="text1"/>
        </w:rPr>
      </w:pPr>
    </w:p>
    <w:p w:rsidR="00144173" w:rsidRPr="00144173" w:rsidRDefault="00144173" w:rsidP="00813ACD">
      <w:pPr>
        <w:rPr>
          <w:color w:val="000000" w:themeColor="text1"/>
        </w:rPr>
      </w:pPr>
    </w:p>
    <w:sectPr w:rsidR="00144173" w:rsidRPr="00144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58" w:rsidRDefault="006F5358" w:rsidP="00230222">
      <w:r>
        <w:separator/>
      </w:r>
    </w:p>
  </w:endnote>
  <w:endnote w:type="continuationSeparator" w:id="0">
    <w:p w:rsidR="006F5358" w:rsidRDefault="006F5358"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58" w:rsidRDefault="006F5358" w:rsidP="00230222">
      <w:r>
        <w:separator/>
      </w:r>
    </w:p>
  </w:footnote>
  <w:footnote w:type="continuationSeparator" w:id="0">
    <w:p w:rsidR="006F5358" w:rsidRDefault="006F5358" w:rsidP="002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4"/>
    <w:rsid w:val="00015107"/>
    <w:rsid w:val="00031535"/>
    <w:rsid w:val="0003202F"/>
    <w:rsid w:val="000C67C6"/>
    <w:rsid w:val="00144173"/>
    <w:rsid w:val="0017353F"/>
    <w:rsid w:val="0018186B"/>
    <w:rsid w:val="001C6F91"/>
    <w:rsid w:val="002226B9"/>
    <w:rsid w:val="00230222"/>
    <w:rsid w:val="00242540"/>
    <w:rsid w:val="002645A6"/>
    <w:rsid w:val="002E1393"/>
    <w:rsid w:val="002E661E"/>
    <w:rsid w:val="002F630B"/>
    <w:rsid w:val="003C2F5B"/>
    <w:rsid w:val="003D6AF1"/>
    <w:rsid w:val="00500DC3"/>
    <w:rsid w:val="00526C8B"/>
    <w:rsid w:val="005A0494"/>
    <w:rsid w:val="005C30FC"/>
    <w:rsid w:val="006211F4"/>
    <w:rsid w:val="0068297D"/>
    <w:rsid w:val="006F5358"/>
    <w:rsid w:val="00784C87"/>
    <w:rsid w:val="00813ACD"/>
    <w:rsid w:val="00880025"/>
    <w:rsid w:val="008B175A"/>
    <w:rsid w:val="008C42EF"/>
    <w:rsid w:val="008E7884"/>
    <w:rsid w:val="008F71CD"/>
    <w:rsid w:val="00902AE6"/>
    <w:rsid w:val="00907A35"/>
    <w:rsid w:val="009722E2"/>
    <w:rsid w:val="009A5286"/>
    <w:rsid w:val="009B7B2D"/>
    <w:rsid w:val="009C2567"/>
    <w:rsid w:val="009C7ECD"/>
    <w:rsid w:val="00A478C8"/>
    <w:rsid w:val="00A84CBC"/>
    <w:rsid w:val="00B210B3"/>
    <w:rsid w:val="00B338FA"/>
    <w:rsid w:val="00B62949"/>
    <w:rsid w:val="00B62B47"/>
    <w:rsid w:val="00BE66DD"/>
    <w:rsid w:val="00BF6D88"/>
    <w:rsid w:val="00C51125"/>
    <w:rsid w:val="00C51667"/>
    <w:rsid w:val="00D63452"/>
    <w:rsid w:val="00DA7134"/>
    <w:rsid w:val="00DC25EC"/>
    <w:rsid w:val="00EA3102"/>
    <w:rsid w:val="00EA445E"/>
    <w:rsid w:val="00EE7B60"/>
    <w:rsid w:val="00F005F4"/>
    <w:rsid w:val="00F017CE"/>
    <w:rsid w:val="00F30FA8"/>
    <w:rsid w:val="00F8122B"/>
    <w:rsid w:val="00F86097"/>
    <w:rsid w:val="00F96531"/>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0FC"/>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